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480" w:firstLine="0" w:firstLineChars="0"/>
        <w:jc w:val="center"/>
        <w:rPr>
          <w:b/>
          <w:sz w:val="48"/>
          <w:lang w:val="zh-CN"/>
        </w:rPr>
      </w:pPr>
      <w:bookmarkStart w:id="0" w:name="_Toc506920655"/>
      <w:r>
        <w:rPr>
          <w:rFonts w:hint="eastAsia"/>
          <w:b/>
          <w:sz w:val="48"/>
          <w:szCs w:val="48"/>
          <w:lang w:val="zh-CN"/>
        </w:rPr>
        <w:t>Suppleme</w:t>
      </w:r>
      <w:bookmarkStart w:id="124" w:name="_GoBack"/>
      <w:bookmarkEnd w:id="124"/>
      <w:r>
        <w:rPr>
          <w:rFonts w:hint="eastAsia"/>
          <w:b/>
          <w:sz w:val="48"/>
          <w:szCs w:val="48"/>
          <w:lang w:val="zh-CN"/>
        </w:rPr>
        <w:t>ntary Material</w:t>
      </w:r>
    </w:p>
    <w:p>
      <w:pPr>
        <w:ind w:left="480" w:firstLine="0" w:firstLineChars="0"/>
      </w:pPr>
    </w:p>
    <w:p>
      <w:pPr>
        <w:pStyle w:val="12"/>
        <w:tabs>
          <w:tab w:val="right" w:leader="dot" w:pos="9752"/>
        </w:tabs>
        <w:rPr>
          <w:rFonts w:hint="default" w:ascii="Times New Roman" w:hAnsi="Times New Roman" w:cs="Times New Roman"/>
        </w:rPr>
      </w:pPr>
      <w:r>
        <w:rPr>
          <w:rFonts w:ascii="Times New Roman" w:hAnsi="Times New Roman"/>
          <w:sz w:val="32"/>
          <w:szCs w:val="32"/>
        </w:rPr>
        <w:fldChar w:fldCharType="begin"/>
      </w:r>
      <w:r>
        <w:rPr>
          <w:rFonts w:ascii="Times New Roman" w:hAnsi="Times New Roman"/>
          <w:sz w:val="32"/>
          <w:szCs w:val="32"/>
        </w:rPr>
        <w:instrText xml:space="preserve"> TOC \o "1-3" \h \z \u </w:instrText>
      </w:r>
      <w:r>
        <w:rPr>
          <w:rFonts w:ascii="Times New Roman" w:hAnsi="Times New Roman"/>
          <w:sz w:val="32"/>
          <w:szCs w:val="32"/>
        </w:rPr>
        <w:fldChar w:fldCharType="separate"/>
      </w:r>
      <w:r>
        <w:rPr>
          <w:rFonts w:hint="default" w:ascii="Times New Roman" w:hAnsi="Times New Roman" w:cs="Times New Roman"/>
          <w:b/>
          <w:bCs/>
          <w:sz w:val="24"/>
          <w:szCs w:val="36"/>
        </w:rPr>
        <w:fldChar w:fldCharType="begin"/>
      </w:r>
      <w:r>
        <w:rPr>
          <w:rFonts w:hint="default" w:ascii="Times New Roman" w:hAnsi="Times New Roman" w:cs="Times New Roman"/>
          <w:b/>
          <w:bCs/>
          <w:sz w:val="24"/>
          <w:szCs w:val="36"/>
        </w:rPr>
        <w:instrText xml:space="preserve"> HYPERLINK \l _Toc30248 </w:instrText>
      </w:r>
      <w:r>
        <w:rPr>
          <w:rFonts w:hint="default" w:ascii="Times New Roman" w:hAnsi="Times New Roman" w:cs="Times New Roman"/>
          <w:b/>
          <w:bCs/>
          <w:sz w:val="24"/>
          <w:szCs w:val="36"/>
        </w:rPr>
        <w:fldChar w:fldCharType="separate"/>
      </w:r>
      <w:r>
        <w:rPr>
          <w:rFonts w:hint="default" w:ascii="Times New Roman" w:hAnsi="Times New Roman" w:cs="Times New Roman"/>
          <w:b/>
          <w:bCs/>
          <w:sz w:val="24"/>
          <w:szCs w:val="52"/>
        </w:rPr>
        <w:t>S1</w:t>
      </w:r>
      <w:r>
        <w:rPr>
          <w:rFonts w:hint="default" w:ascii="Times New Roman" w:hAnsi="Times New Roman" w:cs="Times New Roman"/>
          <w:b w:val="0"/>
          <w:bCs w:val="0"/>
          <w:sz w:val="22"/>
          <w:szCs w:val="22"/>
        </w:rPr>
        <w:tab/>
      </w:r>
      <w:r>
        <w:rPr>
          <w:rFonts w:hint="default" w:ascii="Times New Roman" w:hAnsi="Times New Roman" w:cs="Times New Roman"/>
          <w:b w:val="0"/>
          <w:bCs w:val="0"/>
          <w:sz w:val="22"/>
          <w:szCs w:val="22"/>
        </w:rPr>
        <w:fldChar w:fldCharType="begin"/>
      </w:r>
      <w:r>
        <w:rPr>
          <w:rFonts w:hint="default" w:ascii="Times New Roman" w:hAnsi="Times New Roman" w:cs="Times New Roman"/>
          <w:b w:val="0"/>
          <w:bCs w:val="0"/>
          <w:sz w:val="22"/>
          <w:szCs w:val="22"/>
        </w:rPr>
        <w:instrText xml:space="preserve"> PAGEREF _Toc30248 </w:instrText>
      </w:r>
      <w:r>
        <w:rPr>
          <w:rFonts w:hint="default" w:ascii="Times New Roman" w:hAnsi="Times New Roman" w:cs="Times New Roman"/>
          <w:b w:val="0"/>
          <w:bCs w:val="0"/>
          <w:sz w:val="22"/>
          <w:szCs w:val="22"/>
        </w:rPr>
        <w:fldChar w:fldCharType="separate"/>
      </w:r>
      <w:r>
        <w:rPr>
          <w:rFonts w:hint="default" w:ascii="Times New Roman" w:hAnsi="Times New Roman" w:cs="Times New Roman"/>
          <w:b w:val="0"/>
          <w:bCs w:val="0"/>
          <w:sz w:val="22"/>
          <w:szCs w:val="22"/>
        </w:rPr>
        <w:t>3</w:t>
      </w:r>
      <w:r>
        <w:rPr>
          <w:rFonts w:hint="default" w:ascii="Times New Roman" w:hAnsi="Times New Roman" w:cs="Times New Roman"/>
          <w:b w:val="0"/>
          <w:bCs w:val="0"/>
          <w:sz w:val="22"/>
          <w:szCs w:val="22"/>
        </w:rPr>
        <w:fldChar w:fldCharType="end"/>
      </w:r>
      <w:r>
        <w:rPr>
          <w:rFonts w:hint="default" w:ascii="Times New Roman" w:hAnsi="Times New Roman" w:cs="Times New Roman"/>
          <w:b/>
          <w:bCs/>
          <w:sz w:val="24"/>
          <w:szCs w:val="36"/>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_Toc29317 </w:instrText>
      </w:r>
      <w:r>
        <w:rPr>
          <w:rFonts w:hint="default" w:ascii="Times New Roman" w:hAnsi="Times New Roman" w:cs="Times New Roman"/>
          <w:szCs w:val="28"/>
          <w:lang w:val="zh-CN"/>
        </w:rPr>
        <w:fldChar w:fldCharType="separate"/>
      </w:r>
      <w:r>
        <w:rPr>
          <w:rFonts w:hint="default" w:ascii="Times New Roman" w:hAnsi="Times New Roman" w:cs="Times New Roman"/>
          <w:b/>
          <w:bCs/>
          <w:szCs w:val="24"/>
        </w:rPr>
        <w:t xml:space="preserve">1. </w:t>
      </w:r>
      <w:r>
        <w:rPr>
          <w:rFonts w:hint="default" w:ascii="Times New Roman" w:hAnsi="Times New Roman" w:cs="Times New Roman"/>
          <w:szCs w:val="24"/>
        </w:rPr>
        <w:t>Harvested trees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_Toc29317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_Toc20402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1.1</w:t>
      </w:r>
      <w:r>
        <w:rPr>
          <w:rFonts w:hint="default" w:ascii="Times New Roman" w:hAnsi="Times New Roman" w:cs="Times New Roman"/>
        </w:rPr>
        <w:t xml:space="preserve"> Plot setup</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_Toc20402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_Toc20173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1.2</w:t>
      </w:r>
      <w:r>
        <w:rPr>
          <w:rFonts w:hint="default" w:ascii="Times New Roman" w:hAnsi="Times New Roman" w:cs="Times New Roman"/>
        </w:rPr>
        <w:t xml:space="preserve"> Selection and cutting of standard wood</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_Toc20173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_Toc9541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1.3</w:t>
      </w:r>
      <w:r>
        <w:rPr>
          <w:rFonts w:hint="default" w:ascii="Times New Roman" w:hAnsi="Times New Roman" w:cs="Times New Roman"/>
        </w:rPr>
        <w:t xml:space="preserve"> Harvested tree measurements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_Toc9541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_Toc8048 </w:instrText>
      </w:r>
      <w:r>
        <w:rPr>
          <w:rFonts w:hint="default" w:ascii="Times New Roman" w:hAnsi="Times New Roman" w:cs="Times New Roman"/>
          <w:szCs w:val="28"/>
          <w:lang w:val="zh-CN"/>
        </w:rPr>
        <w:fldChar w:fldCharType="separate"/>
      </w:r>
      <w:r>
        <w:rPr>
          <w:rFonts w:hint="default" w:ascii="Times New Roman" w:hAnsi="Times New Roman" w:cs="Times New Roman"/>
          <w:b/>
          <w:bCs/>
          <w:szCs w:val="24"/>
        </w:rPr>
        <w:t>2.</w:t>
      </w:r>
      <w:r>
        <w:rPr>
          <w:rFonts w:hint="default" w:ascii="Times New Roman" w:hAnsi="Times New Roman" w:cs="Times New Roman"/>
          <w:szCs w:val="24"/>
        </w:rPr>
        <w:t xml:space="preserve"> Introduction to machine learning</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_Toc8048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_Toc3430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2.1</w:t>
      </w:r>
      <w:r>
        <w:rPr>
          <w:rFonts w:hint="default" w:ascii="Times New Roman" w:hAnsi="Times New Roman" w:cs="Times New Roman"/>
        </w:rPr>
        <w:t xml:space="preserve"> Support vector machines for regression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_Toc3430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_Toc28308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2.2</w:t>
      </w:r>
      <w:r>
        <w:rPr>
          <w:rFonts w:hint="default" w:ascii="Times New Roman" w:hAnsi="Times New Roman" w:cs="Times New Roman"/>
        </w:rPr>
        <w:t xml:space="preserve"> Radial basis function artificial neural networks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_Toc28308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_Toc18569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2.3</w:t>
      </w:r>
      <w:r>
        <w:rPr>
          <w:rFonts w:hint="default" w:ascii="Times New Roman" w:hAnsi="Times New Roman" w:cs="Times New Roman"/>
        </w:rPr>
        <w:t xml:space="preserve"> Random forest</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_Toc18569 </w:instrText>
      </w:r>
      <w:r>
        <w:rPr>
          <w:rFonts w:hint="default" w:ascii="Times New Roman" w:hAnsi="Times New Roman" w:cs="Times New Roman"/>
        </w:rPr>
        <w:fldChar w:fldCharType="separate"/>
      </w:r>
      <w:r>
        <w:rPr>
          <w:rFonts w:hint="default" w:ascii="Times New Roman" w:hAnsi="Times New Roman" w:cs="Times New Roman"/>
        </w:rPr>
        <w:t>5</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_Toc1562 </w:instrText>
      </w:r>
      <w:r>
        <w:rPr>
          <w:rFonts w:hint="default" w:ascii="Times New Roman" w:hAnsi="Times New Roman" w:cs="Times New Roman"/>
          <w:szCs w:val="28"/>
          <w:lang w:val="zh-CN"/>
        </w:rPr>
        <w:fldChar w:fldCharType="separate"/>
      </w:r>
      <w:r>
        <w:rPr>
          <w:rFonts w:hint="default" w:ascii="Times New Roman" w:hAnsi="Times New Roman" w:cs="Times New Roman"/>
          <w:b/>
          <w:bCs/>
          <w:szCs w:val="24"/>
        </w:rPr>
        <w:t xml:space="preserve">3. </w:t>
      </w:r>
      <w:r>
        <w:rPr>
          <w:rFonts w:hint="default" w:ascii="Times New Roman" w:hAnsi="Times New Roman" w:cs="Times New Roman"/>
          <w:szCs w:val="24"/>
        </w:rPr>
        <w:t>Introduction to P-BSHADE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_Toc1562 </w:instrText>
      </w:r>
      <w:r>
        <w:rPr>
          <w:rFonts w:hint="default" w:ascii="Times New Roman" w:hAnsi="Times New Roman" w:cs="Times New Roman"/>
        </w:rPr>
        <w:fldChar w:fldCharType="separate"/>
      </w:r>
      <w:r>
        <w:rPr>
          <w:rFonts w:hint="default" w:ascii="Times New Roman" w:hAnsi="Times New Roman" w:cs="Times New Roman"/>
        </w:rPr>
        <w:t>5</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_Toc24392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 xml:space="preserve">3.1 </w:t>
      </w:r>
      <w:r>
        <w:rPr>
          <w:rFonts w:hint="default" w:ascii="Times New Roman" w:hAnsi="Times New Roman" w:cs="Times New Roman"/>
        </w:rPr>
        <w:t>Overview of P-BSHADE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_Toc24392 </w:instrText>
      </w:r>
      <w:r>
        <w:rPr>
          <w:rFonts w:hint="default" w:ascii="Times New Roman" w:hAnsi="Times New Roman" w:cs="Times New Roman"/>
        </w:rPr>
        <w:fldChar w:fldCharType="separate"/>
      </w:r>
      <w:r>
        <w:rPr>
          <w:rFonts w:hint="default" w:ascii="Times New Roman" w:hAnsi="Times New Roman" w:cs="Times New Roman"/>
        </w:rPr>
        <w:t>5</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8"/>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_Toc393 </w:instrText>
      </w:r>
      <w:r>
        <w:rPr>
          <w:rFonts w:hint="default" w:ascii="Times New Roman" w:hAnsi="Times New Roman" w:cs="Times New Roman"/>
          <w:szCs w:val="28"/>
          <w:lang w:val="zh-CN"/>
        </w:rPr>
        <w:fldChar w:fldCharType="separate"/>
      </w:r>
      <w:r>
        <w:rPr>
          <w:rFonts w:hint="default" w:ascii="Times New Roman" w:hAnsi="Times New Roman" w:cs="Times New Roman"/>
          <w:b/>
          <w:bCs/>
        </w:rPr>
        <w:t>3.2</w:t>
      </w:r>
      <w:r>
        <w:rPr>
          <w:rFonts w:hint="default" w:ascii="Times New Roman" w:hAnsi="Times New Roman" w:cs="Times New Roman"/>
        </w:rPr>
        <w:t xml:space="preserve"> P-BSHADE methods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_Toc393 </w:instrText>
      </w:r>
      <w:r>
        <w:rPr>
          <w:rFonts w:hint="default" w:ascii="Times New Roman" w:hAnsi="Times New Roman" w:cs="Times New Roman"/>
        </w:rPr>
        <w:fldChar w:fldCharType="separate"/>
      </w:r>
      <w:r>
        <w:rPr>
          <w:rFonts w:hint="default" w:ascii="Times New Roman" w:hAnsi="Times New Roman" w:cs="Times New Roman"/>
        </w:rPr>
        <w:t>5</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_Toc10010 </w:instrText>
      </w:r>
      <w:r>
        <w:rPr>
          <w:rFonts w:hint="default" w:ascii="Times New Roman" w:hAnsi="Times New Roman" w:cs="Times New Roman"/>
          <w:szCs w:val="28"/>
          <w:lang w:val="zh-CN"/>
        </w:rPr>
        <w:fldChar w:fldCharType="separate"/>
      </w:r>
      <w:r>
        <w:rPr>
          <w:rFonts w:hint="default" w:ascii="Times New Roman" w:hAnsi="Times New Roman" w:cs="Times New Roman"/>
          <w:b/>
          <w:bCs/>
          <w:szCs w:val="24"/>
        </w:rPr>
        <w:t>4</w:t>
      </w:r>
      <w:r>
        <w:rPr>
          <w:rFonts w:hint="default" w:ascii="Times New Roman" w:hAnsi="Times New Roman" w:cs="Times New Roman"/>
          <w:szCs w:val="24"/>
        </w:rPr>
        <w:t xml:space="preserve"> Forest Management and Planning Inventory (FMPI) data</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_Toc10010 </w:instrText>
      </w:r>
      <w:r>
        <w:rPr>
          <w:rFonts w:hint="default" w:ascii="Times New Roman" w:hAnsi="Times New Roman" w:cs="Times New Roman"/>
        </w:rPr>
        <w:fldChar w:fldCharType="separate"/>
      </w:r>
      <w:r>
        <w:rPr>
          <w:rFonts w:hint="default" w:ascii="Times New Roman" w:hAnsi="Times New Roman" w:cs="Times New Roman"/>
        </w:rPr>
        <w:t>7</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color w:val="FF0000"/>
        </w:rPr>
      </w:pPr>
      <w:r>
        <w:rPr>
          <w:rFonts w:hint="default" w:ascii="Times New Roman" w:hAnsi="Times New Roman" w:cs="Times New Roman"/>
          <w:color w:val="FF0000"/>
          <w:szCs w:val="28"/>
          <w:lang w:val="zh-CN"/>
        </w:rPr>
        <w:fldChar w:fldCharType="begin"/>
      </w:r>
      <w:r>
        <w:rPr>
          <w:rFonts w:hint="default" w:ascii="Times New Roman" w:hAnsi="Times New Roman" w:cs="Times New Roman"/>
          <w:color w:val="FF0000"/>
          <w:szCs w:val="28"/>
          <w:lang w:val="zh-CN"/>
        </w:rPr>
        <w:instrText xml:space="preserve"> HYPERLINK \l _Toc4190 </w:instrText>
      </w:r>
      <w:r>
        <w:rPr>
          <w:rFonts w:hint="default" w:ascii="Times New Roman" w:hAnsi="Times New Roman" w:cs="Times New Roman"/>
          <w:color w:val="FF0000"/>
          <w:szCs w:val="28"/>
          <w:lang w:val="zh-CN"/>
        </w:rPr>
        <w:fldChar w:fldCharType="separate"/>
      </w:r>
      <w:r>
        <w:rPr>
          <w:rFonts w:hint="default" w:ascii="Times New Roman" w:hAnsi="Times New Roman" w:cs="Times New Roman"/>
          <w:b/>
          <w:bCs/>
          <w:color w:val="FF0000"/>
        </w:rPr>
        <w:t>5</w:t>
      </w:r>
      <w:r>
        <w:rPr>
          <w:rFonts w:hint="default" w:ascii="Times New Roman" w:hAnsi="Times New Roman" w:cs="Times New Roman"/>
          <w:color w:val="FF0000"/>
        </w:rPr>
        <w:t xml:space="preserve"> Robustness of combined models</w:t>
      </w:r>
      <w:r>
        <w:rPr>
          <w:rFonts w:hint="default" w:ascii="Times New Roman" w:hAnsi="Times New Roman" w:cs="Times New Roman"/>
          <w:color w:val="FF0000"/>
        </w:rPr>
        <w:tab/>
      </w:r>
      <w:r>
        <w:rPr>
          <w:rFonts w:hint="default" w:ascii="Times New Roman" w:hAnsi="Times New Roman" w:cs="Times New Roman"/>
          <w:color w:val="FF0000"/>
        </w:rPr>
        <w:fldChar w:fldCharType="begin"/>
      </w:r>
      <w:r>
        <w:rPr>
          <w:rFonts w:hint="default" w:ascii="Times New Roman" w:hAnsi="Times New Roman" w:cs="Times New Roman"/>
          <w:color w:val="FF0000"/>
        </w:rPr>
        <w:instrText xml:space="preserve"> PAGEREF _Toc4190 </w:instrText>
      </w:r>
      <w:r>
        <w:rPr>
          <w:rFonts w:hint="default" w:ascii="Times New Roman" w:hAnsi="Times New Roman" w:cs="Times New Roman"/>
          <w:color w:val="FF0000"/>
        </w:rPr>
        <w:fldChar w:fldCharType="separate"/>
      </w:r>
      <w:r>
        <w:rPr>
          <w:rFonts w:hint="default" w:ascii="Times New Roman" w:hAnsi="Times New Roman" w:cs="Times New Roman"/>
          <w:color w:val="FF0000"/>
        </w:rPr>
        <w:t>7</w:t>
      </w:r>
      <w:r>
        <w:rPr>
          <w:rFonts w:hint="default" w:ascii="Times New Roman" w:hAnsi="Times New Roman" w:cs="Times New Roman"/>
          <w:color w:val="FF0000"/>
        </w:rPr>
        <w:fldChar w:fldCharType="end"/>
      </w:r>
      <w:r>
        <w:rPr>
          <w:rFonts w:hint="default" w:ascii="Times New Roman" w:hAnsi="Times New Roman" w:cs="Times New Roman"/>
          <w:color w:val="FF0000"/>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color w:val="FF0000"/>
          <w:szCs w:val="28"/>
          <w:lang w:val="zh-CN"/>
        </w:rPr>
        <w:fldChar w:fldCharType="begin"/>
      </w:r>
      <w:r>
        <w:rPr>
          <w:rFonts w:hint="default" w:ascii="Times New Roman" w:hAnsi="Times New Roman" w:cs="Times New Roman"/>
          <w:color w:val="FF0000"/>
          <w:szCs w:val="28"/>
          <w:lang w:val="zh-CN"/>
        </w:rPr>
        <w:instrText xml:space="preserve"> HYPERLINK \l _Toc29678 </w:instrText>
      </w:r>
      <w:r>
        <w:rPr>
          <w:rFonts w:hint="default" w:ascii="Times New Roman" w:hAnsi="Times New Roman" w:cs="Times New Roman"/>
          <w:color w:val="FF0000"/>
          <w:szCs w:val="28"/>
          <w:lang w:val="zh-CN"/>
        </w:rPr>
        <w:fldChar w:fldCharType="separate"/>
      </w:r>
      <w:r>
        <w:rPr>
          <w:rFonts w:hint="eastAsia" w:ascii="Times New Roman" w:hAnsi="Times New Roman" w:cs="Times New Roman"/>
          <w:b/>
          <w:bCs/>
          <w:color w:val="FF0000"/>
          <w:lang w:val="en-US" w:eastAsia="zh-CN"/>
        </w:rPr>
        <w:t>6</w:t>
      </w:r>
      <w:r>
        <w:rPr>
          <w:rFonts w:hint="default" w:ascii="Times New Roman" w:hAnsi="Times New Roman" w:cs="Times New Roman"/>
          <w:color w:val="FF0000"/>
        </w:rPr>
        <w:t xml:space="preserve"> Model application and upscaling of AGB mapping</w:t>
      </w:r>
      <w:r>
        <w:rPr>
          <w:rFonts w:hint="default" w:ascii="Times New Roman" w:hAnsi="Times New Roman" w:cs="Times New Roman"/>
          <w:color w:val="FF0000"/>
        </w:rPr>
        <w:tab/>
      </w:r>
      <w:r>
        <w:rPr>
          <w:rFonts w:hint="default" w:ascii="Times New Roman" w:hAnsi="Times New Roman" w:cs="Times New Roman"/>
          <w:color w:val="FF0000"/>
        </w:rPr>
        <w:fldChar w:fldCharType="begin"/>
      </w:r>
      <w:r>
        <w:rPr>
          <w:rFonts w:hint="default" w:ascii="Times New Roman" w:hAnsi="Times New Roman" w:cs="Times New Roman"/>
          <w:color w:val="FF0000"/>
        </w:rPr>
        <w:instrText xml:space="preserve"> PAGEREF _Toc29678 </w:instrText>
      </w:r>
      <w:r>
        <w:rPr>
          <w:rFonts w:hint="default" w:ascii="Times New Roman" w:hAnsi="Times New Roman" w:cs="Times New Roman"/>
          <w:color w:val="FF0000"/>
        </w:rPr>
        <w:fldChar w:fldCharType="separate"/>
      </w:r>
      <w:r>
        <w:rPr>
          <w:rFonts w:hint="default" w:ascii="Times New Roman" w:hAnsi="Times New Roman" w:cs="Times New Roman"/>
          <w:color w:val="FF0000"/>
        </w:rPr>
        <w:t>7</w:t>
      </w:r>
      <w:r>
        <w:rPr>
          <w:rFonts w:hint="default" w:ascii="Times New Roman" w:hAnsi="Times New Roman" w:cs="Times New Roman"/>
          <w:color w:val="FF0000"/>
        </w:rPr>
        <w:fldChar w:fldCharType="end"/>
      </w:r>
      <w:r>
        <w:rPr>
          <w:rFonts w:hint="default" w:ascii="Times New Roman" w:hAnsi="Times New Roman" w:cs="Times New Roman"/>
          <w:color w:val="FF0000"/>
          <w:szCs w:val="28"/>
          <w:lang w:val="zh-CN"/>
        </w:rPr>
        <w:fldChar w:fldCharType="end"/>
      </w:r>
    </w:p>
    <w:p>
      <w:pPr>
        <w:pStyle w:val="12"/>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_Toc3774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 w:val="24"/>
          <w:szCs w:val="52"/>
        </w:rPr>
        <w:t>S2</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_Toc3774 </w:instrText>
      </w:r>
      <w:r>
        <w:rPr>
          <w:rFonts w:hint="default" w:ascii="Times New Roman" w:hAnsi="Times New Roman" w:cs="Times New Roman"/>
        </w:rPr>
        <w:fldChar w:fldCharType="separate"/>
      </w:r>
      <w:r>
        <w:rPr>
          <w:rFonts w:hint="default" w:ascii="Times New Roman" w:hAnsi="Times New Roman" w:cs="Times New Roman"/>
        </w:rPr>
        <w:t>9</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_Toc23864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Cs w:val="20"/>
        </w:rPr>
        <w:t>Table B.1</w:t>
      </w:r>
      <w:r>
        <w:rPr>
          <w:rFonts w:hint="default" w:ascii="Times New Roman" w:hAnsi="Times New Roman" w:cs="Times New Roman"/>
          <w:i/>
          <w:iCs/>
          <w:szCs w:val="20"/>
        </w:rPr>
        <w:t xml:space="preserve"> </w:t>
      </w:r>
      <w:r>
        <w:rPr>
          <w:rFonts w:hint="default" w:ascii="Times New Roman" w:hAnsi="Times New Roman" w:cs="Times New Roman"/>
          <w:szCs w:val="20"/>
        </w:rPr>
        <w:t>Statistical description of forest patch data.</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_Toc23864 </w:instrText>
      </w:r>
      <w:r>
        <w:rPr>
          <w:rFonts w:hint="default" w:ascii="Times New Roman" w:hAnsi="Times New Roman" w:cs="Times New Roman"/>
        </w:rPr>
        <w:fldChar w:fldCharType="separate"/>
      </w:r>
      <w:r>
        <w:rPr>
          <w:rFonts w:hint="default" w:ascii="Times New Roman" w:hAnsi="Times New Roman" w:cs="Times New Roman"/>
        </w:rPr>
        <w:t>9</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_Toc22330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Cs w:val="20"/>
        </w:rPr>
        <w:t>Table B.2</w:t>
      </w:r>
      <w:r>
        <w:rPr>
          <w:rFonts w:hint="default" w:ascii="Times New Roman" w:hAnsi="Times New Roman" w:cs="Times New Roman"/>
          <w:bCs/>
          <w:szCs w:val="20"/>
        </w:rPr>
        <w:t xml:space="preserve"> </w:t>
      </w:r>
      <w:r>
        <w:rPr>
          <w:rFonts w:hint="default" w:ascii="Times New Roman" w:hAnsi="Times New Roman" w:cs="Times New Roman"/>
          <w:szCs w:val="20"/>
        </w:rPr>
        <w:t>Tree structures for calculating the biomass of the 90 harvested trees.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_Toc22330 </w:instrText>
      </w:r>
      <w:r>
        <w:rPr>
          <w:rFonts w:hint="default" w:ascii="Times New Roman" w:hAnsi="Times New Roman" w:cs="Times New Roman"/>
        </w:rPr>
        <w:fldChar w:fldCharType="separate"/>
      </w:r>
      <w:r>
        <w:rPr>
          <w:rFonts w:hint="default" w:ascii="Times New Roman" w:hAnsi="Times New Roman" w:cs="Times New Roman"/>
        </w:rPr>
        <w:t>9</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_Toc12886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Cs w:val="20"/>
        </w:rPr>
        <w:t>Table B.3</w:t>
      </w:r>
      <w:r>
        <w:rPr>
          <w:rFonts w:hint="default" w:ascii="Times New Roman" w:hAnsi="Times New Roman" w:cs="Times New Roman"/>
          <w:szCs w:val="20"/>
        </w:rPr>
        <w:t xml:space="preserve"> Construction of the optimal model.</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_Toc12886 </w:instrText>
      </w:r>
      <w:r>
        <w:rPr>
          <w:rFonts w:hint="default" w:ascii="Times New Roman" w:hAnsi="Times New Roman" w:cs="Times New Roman"/>
        </w:rPr>
        <w:fldChar w:fldCharType="separate"/>
      </w:r>
      <w:r>
        <w:rPr>
          <w:rFonts w:hint="default" w:ascii="Times New Roman" w:hAnsi="Times New Roman" w:cs="Times New Roman"/>
        </w:rPr>
        <w:t>11</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_Toc6477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Cs w:val="20"/>
        </w:rPr>
        <w:t>Table B.4</w:t>
      </w:r>
      <w:r>
        <w:rPr>
          <w:rFonts w:hint="default" w:ascii="Times New Roman" w:hAnsi="Times New Roman" w:cs="Times New Roman"/>
          <w:szCs w:val="20"/>
        </w:rPr>
        <w:t xml:space="preserve"> Statistical description of AGB and selected variables for sample plots.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_Toc6477 </w:instrText>
      </w:r>
      <w:r>
        <w:rPr>
          <w:rFonts w:hint="default" w:ascii="Times New Roman" w:hAnsi="Times New Roman" w:cs="Times New Roman"/>
        </w:rPr>
        <w:fldChar w:fldCharType="separate"/>
      </w:r>
      <w:r>
        <w:rPr>
          <w:rFonts w:hint="default" w:ascii="Times New Roman" w:hAnsi="Times New Roman" w:cs="Times New Roman"/>
        </w:rPr>
        <w:t>11</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_Toc16497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Cs w:val="20"/>
        </w:rPr>
        <w:t>Table B.5</w:t>
      </w:r>
      <w:r>
        <w:rPr>
          <w:rFonts w:hint="default" w:ascii="Times New Roman" w:hAnsi="Times New Roman" w:cs="Times New Roman"/>
          <w:szCs w:val="20"/>
        </w:rPr>
        <w:t xml:space="preserve"> </w:t>
      </w:r>
      <w:r>
        <w:rPr>
          <w:rFonts w:hint="default" w:ascii="Times New Roman" w:hAnsi="Times New Roman" w:eastAsia="FangSong_GB2312" w:cs="Times New Roman"/>
          <w:szCs w:val="20"/>
        </w:rPr>
        <w:t>List of model accuracy indexes and their definitions.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_Toc16497 </w:instrText>
      </w:r>
      <w:r>
        <w:rPr>
          <w:rFonts w:hint="default" w:ascii="Times New Roman" w:hAnsi="Times New Roman" w:cs="Times New Roman"/>
        </w:rPr>
        <w:fldChar w:fldCharType="separate"/>
      </w:r>
      <w:r>
        <w:rPr>
          <w:rFonts w:hint="default" w:ascii="Times New Roman" w:hAnsi="Times New Roman" w:cs="Times New Roman"/>
        </w:rPr>
        <w:t>13</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_Toc10262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Cs w:val="20"/>
        </w:rPr>
        <w:t>Table B.6</w:t>
      </w:r>
      <w:r>
        <w:rPr>
          <w:rFonts w:hint="default" w:ascii="Times New Roman" w:hAnsi="Times New Roman" w:cs="Times New Roman"/>
          <w:szCs w:val="20"/>
        </w:rPr>
        <w:t xml:space="preserve"> Leave-one-out cross-validation for machine learning (support vector machine, artificial neural network, and random forest), spatial statistical analysis (P-BSHDE), and results from paired combinations of the two types.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_Toc10262 </w:instrText>
      </w:r>
      <w:r>
        <w:rPr>
          <w:rFonts w:hint="default" w:ascii="Times New Roman" w:hAnsi="Times New Roman" w:cs="Times New Roman"/>
        </w:rPr>
        <w:fldChar w:fldCharType="separate"/>
      </w:r>
      <w:r>
        <w:rPr>
          <w:rFonts w:hint="default" w:ascii="Times New Roman" w:hAnsi="Times New Roman" w:cs="Times New Roman"/>
        </w:rPr>
        <w:t>14</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2"/>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_Toc18023 </w:instrText>
      </w:r>
      <w:r>
        <w:rPr>
          <w:rFonts w:hint="default" w:ascii="Times New Roman" w:hAnsi="Times New Roman" w:cs="Times New Roman"/>
          <w:szCs w:val="28"/>
          <w:lang w:val="zh-CN"/>
        </w:rPr>
        <w:fldChar w:fldCharType="separate"/>
      </w:r>
      <w:r>
        <w:rPr>
          <w:rFonts w:hint="default" w:ascii="Times New Roman" w:hAnsi="Times New Roman" w:cs="Times New Roman"/>
          <w:b/>
          <w:bCs w:val="0"/>
          <w:sz w:val="24"/>
          <w:szCs w:val="52"/>
        </w:rPr>
        <w:t>S3</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_Toc18023 </w:instrText>
      </w:r>
      <w:r>
        <w:rPr>
          <w:rFonts w:hint="default" w:ascii="Times New Roman" w:hAnsi="Times New Roman" w:cs="Times New Roman"/>
        </w:rPr>
        <w:fldChar w:fldCharType="separate"/>
      </w:r>
      <w:r>
        <w:rPr>
          <w:rFonts w:hint="default" w:ascii="Times New Roman" w:hAnsi="Times New Roman" w:cs="Times New Roman"/>
        </w:rPr>
        <w:t>15</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_Toc26215 </w:instrText>
      </w:r>
      <w:r>
        <w:rPr>
          <w:rFonts w:hint="default" w:ascii="Times New Roman" w:hAnsi="Times New Roman" w:cs="Times New Roman"/>
          <w:szCs w:val="28"/>
          <w:lang w:val="zh-CN"/>
        </w:rPr>
        <w:fldChar w:fldCharType="separate"/>
      </w:r>
      <w:r>
        <w:rPr>
          <w:rFonts w:hint="default" w:ascii="Times New Roman" w:hAnsi="Times New Roman" w:cs="Times New Roman"/>
          <w:b/>
          <w:bCs/>
          <w:szCs w:val="20"/>
        </w:rPr>
        <w:t>Figure C.1</w:t>
      </w:r>
      <w:r>
        <w:rPr>
          <w:rFonts w:hint="default" w:ascii="Times New Roman" w:hAnsi="Times New Roman" w:cs="Times New Roman"/>
          <w:szCs w:val="20"/>
        </w:rPr>
        <w:t xml:space="preserve"> Spatial autocorrelation report.</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_Toc26215 </w:instrText>
      </w:r>
      <w:r>
        <w:rPr>
          <w:rFonts w:hint="default" w:ascii="Times New Roman" w:hAnsi="Times New Roman" w:cs="Times New Roman"/>
        </w:rPr>
        <w:fldChar w:fldCharType="separate"/>
      </w:r>
      <w:r>
        <w:rPr>
          <w:rFonts w:hint="default" w:ascii="Times New Roman" w:hAnsi="Times New Roman" w:cs="Times New Roman"/>
        </w:rPr>
        <w:t>15</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pStyle w:val="13"/>
        <w:tabs>
          <w:tab w:val="right" w:leader="dot" w:pos="9752"/>
        </w:tabs>
        <w:rPr>
          <w:rFonts w:hint="default" w:ascii="Times New Roman" w:hAnsi="Times New Roman" w:cs="Times New Roman"/>
          <w:color w:val="FF0000"/>
        </w:rPr>
      </w:pPr>
      <w:r>
        <w:rPr>
          <w:rFonts w:hint="default" w:ascii="Times New Roman" w:hAnsi="Times New Roman" w:cs="Times New Roman"/>
          <w:color w:val="FF0000"/>
          <w:szCs w:val="28"/>
          <w:lang w:val="zh-CN"/>
        </w:rPr>
        <w:fldChar w:fldCharType="begin"/>
      </w:r>
      <w:r>
        <w:rPr>
          <w:rFonts w:hint="default" w:ascii="Times New Roman" w:hAnsi="Times New Roman" w:cs="Times New Roman"/>
          <w:color w:val="FF0000"/>
          <w:szCs w:val="28"/>
          <w:lang w:val="zh-CN"/>
        </w:rPr>
        <w:instrText xml:space="preserve"> HYPERLINK \l _Toc25983 </w:instrText>
      </w:r>
      <w:r>
        <w:rPr>
          <w:rFonts w:hint="default" w:ascii="Times New Roman" w:hAnsi="Times New Roman" w:cs="Times New Roman"/>
          <w:color w:val="FF0000"/>
          <w:szCs w:val="28"/>
          <w:lang w:val="zh-CN"/>
        </w:rPr>
        <w:fldChar w:fldCharType="separate"/>
      </w:r>
      <w:r>
        <w:rPr>
          <w:rFonts w:hint="default" w:ascii="Times New Roman" w:hAnsi="Times New Roman" w:cs="Times New Roman"/>
          <w:b/>
          <w:bCs/>
          <w:color w:val="FF0000"/>
          <w:szCs w:val="20"/>
        </w:rPr>
        <w:t xml:space="preserve">Figure C.2 </w:t>
      </w:r>
      <w:r>
        <w:rPr>
          <w:rFonts w:hint="default" w:ascii="Times New Roman" w:hAnsi="Times New Roman" w:cs="Times New Roman"/>
          <w:color w:val="FF0000"/>
          <w:szCs w:val="20"/>
        </w:rPr>
        <w:t>The location of experimental sample plots (blue dots) and independent sample plots (black dots).</w:t>
      </w:r>
      <w:r>
        <w:rPr>
          <w:rFonts w:hint="default" w:ascii="Times New Roman" w:hAnsi="Times New Roman" w:cs="Times New Roman"/>
          <w:color w:val="FF0000"/>
        </w:rPr>
        <w:tab/>
      </w:r>
      <w:r>
        <w:rPr>
          <w:rFonts w:hint="default" w:ascii="Times New Roman" w:hAnsi="Times New Roman" w:cs="Times New Roman"/>
          <w:color w:val="FF0000"/>
        </w:rPr>
        <w:fldChar w:fldCharType="begin"/>
      </w:r>
      <w:r>
        <w:rPr>
          <w:rFonts w:hint="default" w:ascii="Times New Roman" w:hAnsi="Times New Roman" w:cs="Times New Roman"/>
          <w:color w:val="FF0000"/>
        </w:rPr>
        <w:instrText xml:space="preserve"> PAGEREF _Toc25983 </w:instrText>
      </w:r>
      <w:r>
        <w:rPr>
          <w:rFonts w:hint="default" w:ascii="Times New Roman" w:hAnsi="Times New Roman" w:cs="Times New Roman"/>
          <w:color w:val="FF0000"/>
        </w:rPr>
        <w:fldChar w:fldCharType="separate"/>
      </w:r>
      <w:r>
        <w:rPr>
          <w:rFonts w:hint="default" w:ascii="Times New Roman" w:hAnsi="Times New Roman" w:cs="Times New Roman"/>
          <w:color w:val="FF0000"/>
        </w:rPr>
        <w:t>16</w:t>
      </w:r>
      <w:r>
        <w:rPr>
          <w:rFonts w:hint="default" w:ascii="Times New Roman" w:hAnsi="Times New Roman" w:cs="Times New Roman"/>
          <w:color w:val="FF0000"/>
        </w:rPr>
        <w:fldChar w:fldCharType="end"/>
      </w:r>
      <w:r>
        <w:rPr>
          <w:rFonts w:hint="default" w:ascii="Times New Roman" w:hAnsi="Times New Roman" w:cs="Times New Roman"/>
          <w:color w:val="FF0000"/>
          <w:szCs w:val="28"/>
          <w:lang w:val="zh-CN"/>
        </w:rPr>
        <w:fldChar w:fldCharType="end"/>
      </w:r>
    </w:p>
    <w:p>
      <w:pPr>
        <w:pStyle w:val="13"/>
        <w:tabs>
          <w:tab w:val="right" w:leader="dot" w:pos="9752"/>
        </w:tabs>
        <w:rPr>
          <w:rFonts w:hint="default" w:ascii="Times New Roman" w:hAnsi="Times New Roman" w:cs="Times New Roman"/>
          <w:color w:val="FF0000"/>
        </w:rPr>
      </w:pPr>
      <w:r>
        <w:rPr>
          <w:rFonts w:hint="default" w:ascii="Times New Roman" w:hAnsi="Times New Roman" w:cs="Times New Roman"/>
          <w:color w:val="FF0000"/>
          <w:szCs w:val="28"/>
          <w:lang w:val="zh-CN"/>
        </w:rPr>
        <w:fldChar w:fldCharType="begin"/>
      </w:r>
      <w:r>
        <w:rPr>
          <w:rFonts w:hint="default" w:ascii="Times New Roman" w:hAnsi="Times New Roman" w:cs="Times New Roman"/>
          <w:color w:val="FF0000"/>
          <w:szCs w:val="28"/>
          <w:lang w:val="zh-CN"/>
        </w:rPr>
        <w:instrText xml:space="preserve"> HYPERLINK \l _Toc6947 </w:instrText>
      </w:r>
      <w:r>
        <w:rPr>
          <w:rFonts w:hint="default" w:ascii="Times New Roman" w:hAnsi="Times New Roman" w:cs="Times New Roman"/>
          <w:color w:val="FF0000"/>
          <w:szCs w:val="28"/>
          <w:lang w:val="zh-CN"/>
        </w:rPr>
        <w:fldChar w:fldCharType="separate"/>
      </w:r>
      <w:r>
        <w:rPr>
          <w:rFonts w:hint="default" w:ascii="Times New Roman" w:hAnsi="Times New Roman" w:cs="Times New Roman"/>
          <w:b/>
          <w:bCs/>
          <w:color w:val="FF0000"/>
          <w:szCs w:val="20"/>
        </w:rPr>
        <w:t>Figure C.3</w:t>
      </w:r>
      <w:r>
        <w:rPr>
          <w:rFonts w:hint="default" w:ascii="Times New Roman" w:hAnsi="Times New Roman" w:cs="Times New Roman"/>
          <w:color w:val="FF0000"/>
          <w:szCs w:val="20"/>
        </w:rPr>
        <w:t xml:space="preserve"> Upscaled AGB map produced using RF &amp; P-BSHADE.</w:t>
      </w:r>
      <w:r>
        <w:rPr>
          <w:rFonts w:hint="default" w:ascii="Times New Roman" w:hAnsi="Times New Roman" w:cs="Times New Roman"/>
          <w:color w:val="FF0000"/>
        </w:rPr>
        <w:tab/>
      </w:r>
      <w:r>
        <w:rPr>
          <w:rFonts w:hint="default" w:ascii="Times New Roman" w:hAnsi="Times New Roman" w:cs="Times New Roman"/>
          <w:color w:val="FF0000"/>
        </w:rPr>
        <w:fldChar w:fldCharType="begin"/>
      </w:r>
      <w:r>
        <w:rPr>
          <w:rFonts w:hint="default" w:ascii="Times New Roman" w:hAnsi="Times New Roman" w:cs="Times New Roman"/>
          <w:color w:val="FF0000"/>
        </w:rPr>
        <w:instrText xml:space="preserve"> PAGEREF _Toc6947 </w:instrText>
      </w:r>
      <w:r>
        <w:rPr>
          <w:rFonts w:hint="default" w:ascii="Times New Roman" w:hAnsi="Times New Roman" w:cs="Times New Roman"/>
          <w:color w:val="FF0000"/>
        </w:rPr>
        <w:fldChar w:fldCharType="separate"/>
      </w:r>
      <w:r>
        <w:rPr>
          <w:rFonts w:hint="default" w:ascii="Times New Roman" w:hAnsi="Times New Roman" w:cs="Times New Roman"/>
          <w:color w:val="FF0000"/>
        </w:rPr>
        <w:t>17</w:t>
      </w:r>
      <w:r>
        <w:rPr>
          <w:rFonts w:hint="default" w:ascii="Times New Roman" w:hAnsi="Times New Roman" w:cs="Times New Roman"/>
          <w:color w:val="FF0000"/>
        </w:rPr>
        <w:fldChar w:fldCharType="end"/>
      </w:r>
      <w:r>
        <w:rPr>
          <w:rFonts w:hint="default" w:ascii="Times New Roman" w:hAnsi="Times New Roman" w:cs="Times New Roman"/>
          <w:color w:val="FF0000"/>
          <w:szCs w:val="28"/>
          <w:lang w:val="zh-CN"/>
        </w:rPr>
        <w:fldChar w:fldCharType="end"/>
      </w:r>
    </w:p>
    <w:p>
      <w:pPr>
        <w:pStyle w:val="13"/>
        <w:tabs>
          <w:tab w:val="right" w:leader="dot" w:pos="9752"/>
        </w:tabs>
        <w:rPr>
          <w:rFonts w:hint="default" w:ascii="Times New Roman" w:hAnsi="Times New Roman" w:cs="Times New Roman"/>
        </w:rPr>
      </w:pPr>
      <w:r>
        <w:rPr>
          <w:rFonts w:hint="default" w:ascii="Times New Roman" w:hAnsi="Times New Roman" w:cs="Times New Roman"/>
          <w:color w:val="FF0000"/>
          <w:szCs w:val="28"/>
          <w:lang w:val="zh-CN"/>
        </w:rPr>
        <w:fldChar w:fldCharType="begin"/>
      </w:r>
      <w:r>
        <w:rPr>
          <w:rFonts w:hint="default" w:ascii="Times New Roman" w:hAnsi="Times New Roman" w:cs="Times New Roman"/>
          <w:color w:val="FF0000"/>
          <w:szCs w:val="28"/>
          <w:lang w:val="zh-CN"/>
        </w:rPr>
        <w:instrText xml:space="preserve"> HYPERLINK \l _Toc12511 </w:instrText>
      </w:r>
      <w:r>
        <w:rPr>
          <w:rFonts w:hint="default" w:ascii="Times New Roman" w:hAnsi="Times New Roman" w:cs="Times New Roman"/>
          <w:color w:val="FF0000"/>
          <w:szCs w:val="28"/>
          <w:lang w:val="zh-CN"/>
        </w:rPr>
        <w:fldChar w:fldCharType="separate"/>
      </w:r>
      <w:r>
        <w:rPr>
          <w:rFonts w:hint="default" w:ascii="Times New Roman" w:hAnsi="Times New Roman" w:cs="Times New Roman"/>
          <w:b/>
          <w:bCs w:val="0"/>
          <w:color w:val="FF0000"/>
          <w:szCs w:val="20"/>
        </w:rPr>
        <w:t>Figure C.4</w:t>
      </w:r>
      <w:r>
        <w:rPr>
          <w:rFonts w:hint="default" w:ascii="Times New Roman" w:hAnsi="Times New Roman" w:cs="Times New Roman"/>
          <w:bCs/>
          <w:color w:val="FF0000"/>
          <w:szCs w:val="20"/>
        </w:rPr>
        <w:t xml:space="preserve"> Comparison of upscaling by RF &amp; P-BSHADE with upscaling by the allometric model. The green dashed line corresponds to a 1:1 relationship; each dot represents an individual forest patch; the solid yellow line indicates the trend line for the dots.</w:t>
      </w:r>
      <w:r>
        <w:rPr>
          <w:rFonts w:hint="default" w:ascii="Times New Roman" w:hAnsi="Times New Roman" w:cs="Times New Roman"/>
          <w:color w:val="FF0000"/>
        </w:rPr>
        <w:tab/>
      </w:r>
      <w:r>
        <w:rPr>
          <w:rFonts w:hint="default" w:ascii="Times New Roman" w:hAnsi="Times New Roman" w:cs="Times New Roman"/>
          <w:color w:val="FF0000"/>
        </w:rPr>
        <w:fldChar w:fldCharType="begin"/>
      </w:r>
      <w:r>
        <w:rPr>
          <w:rFonts w:hint="default" w:ascii="Times New Roman" w:hAnsi="Times New Roman" w:cs="Times New Roman"/>
          <w:color w:val="FF0000"/>
        </w:rPr>
        <w:instrText xml:space="preserve"> PAGEREF _Toc12511 </w:instrText>
      </w:r>
      <w:r>
        <w:rPr>
          <w:rFonts w:hint="default" w:ascii="Times New Roman" w:hAnsi="Times New Roman" w:cs="Times New Roman"/>
          <w:color w:val="FF0000"/>
        </w:rPr>
        <w:fldChar w:fldCharType="separate"/>
      </w:r>
      <w:r>
        <w:rPr>
          <w:rFonts w:hint="default" w:ascii="Times New Roman" w:hAnsi="Times New Roman" w:cs="Times New Roman"/>
          <w:color w:val="FF0000"/>
        </w:rPr>
        <w:t>17</w:t>
      </w:r>
      <w:r>
        <w:rPr>
          <w:rFonts w:hint="default" w:ascii="Times New Roman" w:hAnsi="Times New Roman" w:cs="Times New Roman"/>
          <w:color w:val="FF0000"/>
        </w:rPr>
        <w:fldChar w:fldCharType="end"/>
      </w:r>
      <w:r>
        <w:rPr>
          <w:rFonts w:hint="default" w:ascii="Times New Roman" w:hAnsi="Times New Roman" w:cs="Times New Roman"/>
          <w:color w:val="FF0000"/>
          <w:szCs w:val="28"/>
          <w:lang w:val="zh-CN"/>
        </w:rPr>
        <w:fldChar w:fldCharType="end"/>
      </w:r>
    </w:p>
    <w:p>
      <w:pPr>
        <w:pStyle w:val="12"/>
        <w:tabs>
          <w:tab w:val="right" w:leader="dot" w:pos="9752"/>
        </w:tabs>
      </w:pPr>
      <w:r>
        <w:rPr>
          <w:rFonts w:hint="default" w:ascii="Times New Roman" w:hAnsi="Times New Roman" w:cs="Times New Roman"/>
          <w:szCs w:val="28"/>
          <w:lang w:val="zh-CN"/>
        </w:rPr>
        <w:fldChar w:fldCharType="begin"/>
      </w:r>
      <w:r>
        <w:rPr>
          <w:rFonts w:hint="default" w:ascii="Times New Roman" w:hAnsi="Times New Roman" w:cs="Times New Roman"/>
          <w:szCs w:val="28"/>
          <w:lang w:val="zh-CN"/>
        </w:rPr>
        <w:instrText xml:space="preserve"> HYPERLINK \l _Toc7522 </w:instrText>
      </w:r>
      <w:r>
        <w:rPr>
          <w:rFonts w:hint="default" w:ascii="Times New Roman" w:hAnsi="Times New Roman" w:cs="Times New Roman"/>
          <w:szCs w:val="28"/>
          <w:lang w:val="zh-CN"/>
        </w:rPr>
        <w:fldChar w:fldCharType="separate"/>
      </w:r>
      <w:r>
        <w:rPr>
          <w:rFonts w:hint="default" w:ascii="Times New Roman" w:hAnsi="Times New Roman" w:cs="Times New Roman"/>
          <w:b/>
          <w:bCs/>
          <w:sz w:val="24"/>
          <w:szCs w:val="24"/>
        </w:rPr>
        <w:t>References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_Toc7522 </w:instrText>
      </w:r>
      <w:r>
        <w:rPr>
          <w:rFonts w:hint="default" w:ascii="Times New Roman" w:hAnsi="Times New Roman" w:cs="Times New Roman"/>
        </w:rPr>
        <w:fldChar w:fldCharType="separate"/>
      </w:r>
      <w:r>
        <w:rPr>
          <w:rFonts w:hint="default" w:ascii="Times New Roman" w:hAnsi="Times New Roman" w:cs="Times New Roman"/>
        </w:rPr>
        <w:t>19</w:t>
      </w:r>
      <w:r>
        <w:rPr>
          <w:rFonts w:hint="default" w:ascii="Times New Roman" w:hAnsi="Times New Roman" w:cs="Times New Roman"/>
        </w:rPr>
        <w:fldChar w:fldCharType="end"/>
      </w:r>
      <w:r>
        <w:rPr>
          <w:rFonts w:hint="default" w:ascii="Times New Roman" w:hAnsi="Times New Roman" w:cs="Times New Roman"/>
          <w:szCs w:val="28"/>
          <w:lang w:val="zh-CN"/>
        </w:rPr>
        <w:fldChar w:fldCharType="end"/>
      </w:r>
    </w:p>
    <w:p>
      <w:pPr>
        <w:ind w:firstLine="0" w:firstLineChars="0"/>
        <w:rPr>
          <w:b/>
          <w:sz w:val="28"/>
          <w:szCs w:val="24"/>
          <w:lang w:val="zh-CN"/>
        </w:rPr>
      </w:pPr>
      <w:r>
        <w:rPr>
          <w:szCs w:val="28"/>
          <w:lang w:val="zh-CN"/>
        </w:rPr>
        <w:fldChar w:fldCharType="end"/>
      </w:r>
    </w:p>
    <w:p>
      <w:pPr>
        <w:ind w:firstLine="0" w:firstLineChars="0"/>
        <w:outlineLvl w:val="0"/>
        <w:rPr>
          <w:b/>
          <w:bCs/>
          <w:sz w:val="48"/>
          <w:szCs w:val="48"/>
        </w:rPr>
      </w:pPr>
      <w:r>
        <w:rPr>
          <w:b/>
          <w:bCs/>
          <w:sz w:val="48"/>
          <w:szCs w:val="48"/>
        </w:rPr>
        <w:br w:type="page"/>
      </w:r>
      <w:bookmarkEnd w:id="0"/>
      <w:bookmarkStart w:id="1" w:name="_Toc30248"/>
      <w:r>
        <w:rPr>
          <w:b/>
          <w:bCs/>
          <w:sz w:val="48"/>
          <w:szCs w:val="48"/>
        </w:rPr>
        <w:t>S1</w:t>
      </w:r>
      <w:bookmarkEnd w:id="1"/>
    </w:p>
    <w:p>
      <w:pPr>
        <w:ind w:firstLine="0" w:firstLineChars="0"/>
        <w:rPr>
          <w:szCs w:val="24"/>
        </w:rPr>
      </w:pPr>
    </w:p>
    <w:p>
      <w:pPr>
        <w:pStyle w:val="3"/>
        <w:rPr>
          <w:szCs w:val="24"/>
        </w:rPr>
      </w:pPr>
      <w:bookmarkStart w:id="2" w:name="_Toc506920659"/>
      <w:bookmarkStart w:id="3" w:name="_Toc29317"/>
      <w:bookmarkStart w:id="4" w:name="_Toc520101974"/>
      <w:bookmarkStart w:id="5" w:name="OLE_LINK128"/>
      <w:bookmarkStart w:id="6" w:name="OLE_LINK127"/>
      <w:r>
        <w:rPr>
          <w:szCs w:val="24"/>
        </w:rPr>
        <w:t xml:space="preserve">1. </w:t>
      </w:r>
      <w:bookmarkEnd w:id="2"/>
      <w:r>
        <w:rPr>
          <w:szCs w:val="24"/>
        </w:rPr>
        <w:t>Harvested trees</w:t>
      </w:r>
      <w:bookmarkEnd w:id="3"/>
      <w:bookmarkEnd w:id="4"/>
    </w:p>
    <w:bookmarkEnd w:id="5"/>
    <w:bookmarkEnd w:id="6"/>
    <w:p>
      <w:pPr>
        <w:pStyle w:val="4"/>
      </w:pPr>
      <w:bookmarkStart w:id="7" w:name="_Toc520101975"/>
      <w:bookmarkStart w:id="8" w:name="_Toc20402"/>
      <w:bookmarkStart w:id="9" w:name="_Toc506920660"/>
      <w:r>
        <w:rPr>
          <w:rFonts w:hint="eastAsia"/>
        </w:rPr>
        <w:t xml:space="preserve">1.1 </w:t>
      </w:r>
      <w:r>
        <w:t>Plot setup</w:t>
      </w:r>
      <w:bookmarkEnd w:id="7"/>
      <w:bookmarkEnd w:id="8"/>
      <w:bookmarkEnd w:id="9"/>
      <w:r>
        <w:t xml:space="preserve"> </w:t>
      </w:r>
    </w:p>
    <w:p>
      <w:pPr>
        <w:ind w:firstLine="0" w:firstLineChars="0"/>
        <w:rPr>
          <w:sz w:val="20"/>
          <w:szCs w:val="20"/>
        </w:rPr>
      </w:pPr>
      <w:r>
        <w:rPr>
          <w:sz w:val="20"/>
          <w:szCs w:val="20"/>
        </w:rPr>
        <w:t xml:space="preserve">The purpose of plot selection was to establish fixed and permanent plots representing regional </w:t>
      </w:r>
      <w:r>
        <w:rPr>
          <w:i/>
          <w:iCs/>
          <w:sz w:val="20"/>
          <w:szCs w:val="20"/>
        </w:rPr>
        <w:t xml:space="preserve">Eucalyptus </w:t>
      </w:r>
      <w:r>
        <w:rPr>
          <w:sz w:val="20"/>
          <w:szCs w:val="20"/>
        </w:rPr>
        <w:t>growing conditions</w:t>
      </w:r>
      <w:r>
        <w:rPr>
          <w:i/>
          <w:iCs/>
          <w:sz w:val="20"/>
          <w:szCs w:val="20"/>
        </w:rPr>
        <w:t xml:space="preserve"> </w:t>
      </w:r>
      <w:r>
        <w:rPr>
          <w:sz w:val="20"/>
          <w:szCs w:val="20"/>
        </w:rPr>
        <w:t>and to provide</w:t>
      </w:r>
      <w:r>
        <w:rPr>
          <w:rFonts w:hint="eastAsia"/>
          <w:sz w:val="20"/>
          <w:szCs w:val="20"/>
        </w:rPr>
        <w:t xml:space="preserve"> </w:t>
      </w:r>
      <w:r>
        <w:rPr>
          <w:sz w:val="20"/>
          <w:szCs w:val="20"/>
        </w:rPr>
        <w:t>harvested tree data on the single-tree scale with adequate consideration of spatial heterogeneity. Patches were selected first and met the following six conditions: (1) patch records were available from FMPI data for 2009; (2) forest stands were classified as timber or commercial forest; (3) forest patches were disturbance-free during the previous seven years, including but not limited to logging, fire, and pests; (4) forest patches were not replanted; (5)</w:t>
      </w:r>
      <w:r>
        <w:rPr>
          <w:sz w:val="20"/>
          <w:szCs w:val="20"/>
          <w:u w:color="FF0000"/>
        </w:rPr>
        <w:t xml:space="preserve"> patches contained </w:t>
      </w:r>
      <w:r>
        <w:rPr>
          <w:sz w:val="20"/>
          <w:szCs w:val="20"/>
        </w:rPr>
        <w:t>closed canopy forests; and (6)</w:t>
      </w:r>
      <w:r>
        <w:rPr>
          <w:rFonts w:eastAsia="Arial Unicode MS"/>
          <w:sz w:val="20"/>
          <w:szCs w:val="20"/>
        </w:rPr>
        <w:t xml:space="preserve"> patches were monocultures, not mixed stands</w:t>
      </w:r>
      <w:r>
        <w:rPr>
          <w:sz w:val="20"/>
          <w:szCs w:val="20"/>
        </w:rPr>
        <w:t xml:space="preserve">. Based on these six conditions, </w:t>
      </w:r>
      <w:r>
        <w:rPr>
          <w:rFonts w:hint="eastAsia"/>
          <w:sz w:val="20"/>
          <w:szCs w:val="20"/>
        </w:rPr>
        <w:t>2</w:t>
      </w:r>
      <w:r>
        <w:rPr>
          <w:sz w:val="20"/>
          <w:szCs w:val="20"/>
        </w:rPr>
        <w:t>,</w:t>
      </w:r>
      <w:r>
        <w:rPr>
          <w:rFonts w:hint="eastAsia"/>
          <w:sz w:val="20"/>
          <w:szCs w:val="20"/>
        </w:rPr>
        <w:t>980</w:t>
      </w:r>
      <w:r>
        <w:rPr>
          <w:sz w:val="20"/>
          <w:szCs w:val="20"/>
        </w:rPr>
        <w:t xml:space="preserve"> </w:t>
      </w:r>
      <w:r>
        <w:rPr>
          <w:i/>
          <w:iCs/>
          <w:sz w:val="20"/>
          <w:szCs w:val="20"/>
        </w:rPr>
        <w:t>Eucalyptus</w:t>
      </w:r>
      <w:r>
        <w:rPr>
          <w:sz w:val="20"/>
          <w:szCs w:val="20"/>
        </w:rPr>
        <w:t xml:space="preserve"> patches were selected from the FMPI data and fixed and permanent plots were established. The </w:t>
      </w:r>
      <w:r>
        <w:rPr>
          <w:rFonts w:hint="eastAsia"/>
          <w:sz w:val="20"/>
          <w:szCs w:val="20"/>
        </w:rPr>
        <w:t>2</w:t>
      </w:r>
      <w:r>
        <w:rPr>
          <w:sz w:val="20"/>
          <w:szCs w:val="20"/>
        </w:rPr>
        <w:t>,</w:t>
      </w:r>
      <w:r>
        <w:rPr>
          <w:rFonts w:hint="eastAsia"/>
          <w:sz w:val="20"/>
          <w:szCs w:val="20"/>
        </w:rPr>
        <w:t>980</w:t>
      </w:r>
      <w:r>
        <w:rPr>
          <w:sz w:val="20"/>
          <w:szCs w:val="20"/>
        </w:rPr>
        <w:t xml:space="preserve"> selected patches were divided into </w:t>
      </w:r>
      <w:r>
        <w:rPr>
          <w:rFonts w:hint="eastAsia"/>
          <w:sz w:val="20"/>
          <w:szCs w:val="20"/>
        </w:rPr>
        <w:t>ten</w:t>
      </w:r>
      <w:r>
        <w:rPr>
          <w:sz w:val="20"/>
          <w:szCs w:val="20"/>
        </w:rPr>
        <w:t xml:space="preserve"> groups based on forest age. Each stand group had been planted at the same time. We calculated the mean basal area for each group and used this as the basis for fixed plot selection, which was obtained from specified plot design and sampling procedures. In parallel, we considered site conditions, forest use, and forest origin (natural vs. man-made), and subsequently established 30 permanent square plots (20 m × 20 m). We recorded fixed-plot conditions by assigning a code to each fixed plot and recorded environmental conditions, including the following direct and indirect attributes: age, community structure, canopy density, and understory shrub conditions. Finally, a full tree survey was conducted in each fixed plot to obtain the following: DBH for every tree ≥ 8 cm in diameter, tree height, and other tree attributes. </w:t>
      </w:r>
    </w:p>
    <w:p>
      <w:pPr>
        <w:pStyle w:val="4"/>
      </w:pPr>
      <w:bookmarkStart w:id="10" w:name="_Toc20173"/>
      <w:bookmarkStart w:id="11" w:name="_Toc506920661"/>
      <w:bookmarkStart w:id="12" w:name="_Toc520101976"/>
      <w:r>
        <w:rPr>
          <w:rFonts w:hint="eastAsia"/>
        </w:rPr>
        <w:t xml:space="preserve">1.2 </w:t>
      </w:r>
      <w:r>
        <w:t>Selection and cutting of standard wood</w:t>
      </w:r>
      <w:bookmarkEnd w:id="10"/>
      <w:bookmarkEnd w:id="11"/>
      <w:bookmarkEnd w:id="12"/>
    </w:p>
    <w:p>
      <w:pPr>
        <w:ind w:firstLine="0" w:firstLineChars="0"/>
        <w:rPr>
          <w:sz w:val="20"/>
          <w:szCs w:val="20"/>
        </w:rPr>
      </w:pPr>
      <w:r>
        <w:rPr>
          <w:sz w:val="20"/>
          <w:szCs w:val="20"/>
        </w:rPr>
        <w:t xml:space="preserve">Standard wood was selected following a full tree survey. The following selection criteria were used: (1) Wood was located within the plot; stems were representative of the plot, with no disturbances (e.g., pests, fire, or anthropogenic activities); and the wood was healthy. (2) Based on the full tree survey data, a tree sampling method was used to calculate average basal area and three trees closest to the average values were selected (i.e., standard trees). These standard trees were cut down and the average biomass was calculated and multiplied by the stems per unit area to obtain the total </w:t>
      </w:r>
      <w:r>
        <w:rPr>
          <w:i/>
          <w:iCs/>
          <w:sz w:val="20"/>
          <w:szCs w:val="20"/>
        </w:rPr>
        <w:t>Eucalyptus</w:t>
      </w:r>
      <w:r>
        <w:rPr>
          <w:sz w:val="20"/>
          <w:szCs w:val="20"/>
        </w:rPr>
        <w:t xml:space="preserve"> biomass per unit area.</w:t>
      </w:r>
    </w:p>
    <w:p>
      <w:pPr>
        <w:pStyle w:val="4"/>
      </w:pPr>
      <w:bookmarkStart w:id="13" w:name="_Toc520101977"/>
      <w:bookmarkStart w:id="14" w:name="_Toc9541"/>
      <w:bookmarkStart w:id="15" w:name="_Toc506920662"/>
      <w:bookmarkStart w:id="16" w:name="OLE_LINK7"/>
      <w:r>
        <w:rPr>
          <w:rFonts w:hint="eastAsia"/>
        </w:rPr>
        <w:t xml:space="preserve">1.3 </w:t>
      </w:r>
      <w:r>
        <w:t>Harvested tree measurements</w:t>
      </w:r>
      <w:bookmarkEnd w:id="13"/>
      <w:bookmarkEnd w:id="14"/>
      <w:bookmarkEnd w:id="15"/>
    </w:p>
    <w:p>
      <w:pPr>
        <w:ind w:firstLine="0" w:firstLineChars="0"/>
        <w:rPr>
          <w:color w:val="FF0000"/>
          <w:sz w:val="20"/>
          <w:szCs w:val="20"/>
        </w:rPr>
      </w:pPr>
      <w:r>
        <w:rPr>
          <w:color w:val="FF0000"/>
          <w:sz w:val="20"/>
          <w:szCs w:val="20"/>
        </w:rPr>
        <w:t>Aboveground biomass was divided into three tissue types: stems, branches, and foliage. Four to six branches were systematically sampled from each tree at regular intervals over the entire crown length. Foliage was collected from each of the sampled branches. Stems were sectioned into meter-long pieces using a chainsaw.</w:t>
      </w:r>
    </w:p>
    <w:p>
      <w:pPr>
        <w:ind w:firstLine="0" w:firstLineChars="0"/>
        <w:rPr>
          <w:sz w:val="20"/>
          <w:szCs w:val="20"/>
        </w:rPr>
      </w:pPr>
      <w:r>
        <w:rPr>
          <w:sz w:val="20"/>
          <w:szCs w:val="20"/>
        </w:rPr>
        <w:t>The fresh weight of three tissue types was obtained in the field and 500 g of each tissue type (i.e., stems, branches, and foliage) were placed in plastic bags. The samples were stored under refrigeration during transportation to the laboratory. Fresh samples were oven dried at 85</w:t>
      </w:r>
      <w:r>
        <w:rPr>
          <w:rFonts w:hint="eastAsia"/>
          <w:sz w:val="20"/>
          <w:szCs w:val="20"/>
        </w:rPr>
        <w:t xml:space="preserve"> </w:t>
      </w:r>
      <w:r>
        <w:rPr>
          <w:sz w:val="20"/>
          <w:szCs w:val="20"/>
        </w:rPr>
        <w:t>°C to determine the constant dry weight.</w:t>
      </w:r>
      <w:bookmarkEnd w:id="16"/>
    </w:p>
    <w:p>
      <w:pPr>
        <w:pStyle w:val="3"/>
        <w:rPr>
          <w:szCs w:val="24"/>
        </w:rPr>
      </w:pPr>
      <w:bookmarkStart w:id="17" w:name="_Toc520101978"/>
      <w:bookmarkStart w:id="18" w:name="_Toc8048"/>
      <w:bookmarkStart w:id="19" w:name="OLE_LINK139"/>
      <w:bookmarkStart w:id="20" w:name="OLE_LINK138"/>
      <w:r>
        <w:rPr>
          <w:szCs w:val="24"/>
        </w:rPr>
        <w:t xml:space="preserve">2. Introduction to </w:t>
      </w:r>
      <w:bookmarkEnd w:id="17"/>
      <w:bookmarkStart w:id="21" w:name="_Toc520101982"/>
      <w:r>
        <w:rPr>
          <w:szCs w:val="24"/>
        </w:rPr>
        <w:t>machine learning</w:t>
      </w:r>
      <w:bookmarkEnd w:id="18"/>
      <w:bookmarkEnd w:id="21"/>
    </w:p>
    <w:bookmarkEnd w:id="19"/>
    <w:bookmarkEnd w:id="20"/>
    <w:p>
      <w:pPr>
        <w:pStyle w:val="4"/>
        <w:rPr>
          <w:color w:val="FF0000"/>
        </w:rPr>
      </w:pPr>
      <w:bookmarkStart w:id="22" w:name="_Toc520101983"/>
      <w:bookmarkStart w:id="23" w:name="_Toc506920664"/>
      <w:bookmarkStart w:id="24" w:name="_Toc3430"/>
      <w:bookmarkStart w:id="25" w:name="OLE_LINK15"/>
      <w:r>
        <w:rPr>
          <w:rFonts w:hint="eastAsia"/>
          <w:color w:val="FF0000"/>
        </w:rPr>
        <w:t xml:space="preserve">2.1 </w:t>
      </w:r>
      <w:r>
        <w:rPr>
          <w:color w:val="FF0000"/>
        </w:rPr>
        <w:t>Support vector machines for regression</w:t>
      </w:r>
      <w:bookmarkEnd w:id="22"/>
      <w:bookmarkEnd w:id="23"/>
      <w:bookmarkEnd w:id="24"/>
    </w:p>
    <w:p>
      <w:pPr>
        <w:pStyle w:val="48"/>
        <w:spacing w:line="360" w:lineRule="auto"/>
        <w:ind w:firstLine="0" w:firstLineChars="0"/>
        <w:rPr>
          <w:color w:val="FF0000"/>
          <w:sz w:val="20"/>
        </w:rPr>
      </w:pPr>
      <w:bookmarkStart w:id="26" w:name="OLE_LINK10"/>
      <w:r>
        <w:rPr>
          <w:color w:val="FF0000"/>
          <w:sz w:val="20"/>
        </w:rPr>
        <w:t>A support vector machine (SVM) is a type of categorized algorithm that improves generalized machine learning ability by minimizing structural risks in order to minimize empirical risk and confidence intervals. In this way, it achieves adequate statistical trends from a limited number of samples.</w:t>
      </w:r>
      <w:bookmarkEnd w:id="26"/>
      <w:r>
        <w:rPr>
          <w:color w:val="FF0000"/>
          <w:sz w:val="20"/>
        </w:rPr>
        <w:t xml:space="preserve"> Compared with traditional machine learning methods, SVM adopts the principle of minimizing structural risks. Along with minimizing sample point errors, SVM simultaneously narrows the upper bound of generalized error in the model to improve the generalization ability of the model and to solve the problems of excessive model learning, nonlinearity, and dimensionality (Ukil, 2002).</w:t>
      </w:r>
    </w:p>
    <w:p>
      <w:pPr>
        <w:ind w:firstLine="0" w:firstLineChars="0"/>
        <w:rPr>
          <w:color w:val="FF0000"/>
          <w:sz w:val="20"/>
          <w:szCs w:val="20"/>
        </w:rPr>
      </w:pPr>
      <w:bookmarkStart w:id="27" w:name="_Toc506920665"/>
      <w:r>
        <w:rPr>
          <w:color w:val="FF0000"/>
          <w:sz w:val="20"/>
          <w:szCs w:val="20"/>
        </w:rPr>
        <w:t>The SVM classification model was trained using a C-classification method, with longitude, DBH, tree height, and forest age as the selection characteristics and the biomass data from the 30 plots as model training samples. The Gaussian inner product function served as the kernel function.</w:t>
      </w:r>
    </w:p>
    <w:p>
      <w:pPr>
        <w:pStyle w:val="4"/>
        <w:rPr>
          <w:color w:val="FF0000"/>
        </w:rPr>
      </w:pPr>
      <w:bookmarkStart w:id="28" w:name="_Toc28308"/>
      <w:bookmarkStart w:id="29" w:name="_Toc520101984"/>
      <w:r>
        <w:rPr>
          <w:rFonts w:hint="eastAsia"/>
          <w:color w:val="FF0000"/>
        </w:rPr>
        <w:t xml:space="preserve">2.2 </w:t>
      </w:r>
      <w:r>
        <w:rPr>
          <w:color w:val="FF0000"/>
        </w:rPr>
        <w:t>Radial basis function artificial neural networks</w:t>
      </w:r>
      <w:bookmarkEnd w:id="28"/>
      <w:r>
        <w:rPr>
          <w:color w:val="FF0000"/>
        </w:rPr>
        <w:t xml:space="preserve"> </w:t>
      </w:r>
      <w:bookmarkEnd w:id="27"/>
      <w:bookmarkEnd w:id="29"/>
    </w:p>
    <w:p>
      <w:pPr>
        <w:ind w:firstLine="400" w:firstLineChars="0"/>
        <w:jc w:val="left"/>
        <w:rPr>
          <w:b/>
          <w:bCs/>
          <w:i/>
          <w:iCs/>
          <w:color w:val="FF0000"/>
          <w:sz w:val="28"/>
          <w:szCs w:val="28"/>
        </w:rPr>
      </w:pPr>
      <w:bookmarkStart w:id="30" w:name="OLE_LINK13"/>
      <w:r>
        <w:rPr>
          <w:rFonts w:hAnsi="Arial Unicode MS" w:cs="Arial Unicode MS"/>
          <w:color w:val="FF0000"/>
          <w:sz w:val="20"/>
          <w:szCs w:val="20"/>
          <w:lang w:eastAsia="en-US"/>
        </w:rPr>
        <w:t xml:space="preserve">The basic components of radial basis function artificial neural networks (RBF-ANNs) </w:t>
      </w:r>
      <w:r>
        <w:rPr>
          <w:rFonts w:eastAsia="Times New Roman"/>
          <w:color w:val="FF0000"/>
          <w:kern w:val="0"/>
          <w:sz w:val="20"/>
          <w:szCs w:val="24"/>
          <w:lang w:val="en-GB" w:eastAsia="de-DE"/>
        </w:rPr>
        <w:t>include an input layer, a hidden layer, and an output layer, which are able to provide the best approximation for nonlinear functions and optimal global performance (Elanayar and Shin, 1994). The change from the input layer space to the hidden layer space is nonlinear, whereas the spatial transformation from the hidden layer to the output layer space is linear. The RBF-ANN has good generalizability, requires fewer calculations, and has a faster learning speed than other machine learning algorithms. Therefore, the RBF-ANN avoids lengthy iterative calculations, such as those found in the learning algorithms of back propagation neural networks, and the possibility of falling into a local extremum.</w:t>
      </w:r>
      <w:bookmarkEnd w:id="30"/>
      <w:r>
        <w:rPr>
          <w:rFonts w:hAnsi="Arial Unicode MS" w:cs="Arial Unicode MS"/>
          <w:color w:val="FF0000"/>
          <w:sz w:val="20"/>
          <w:szCs w:val="20"/>
          <w:lang w:eastAsia="en-US"/>
        </w:rPr>
        <w:t xml:space="preserve"> RBF-ANN is widely used in many fields, including </w:t>
      </w:r>
      <w:bookmarkStart w:id="31" w:name="OLE_LINK28"/>
      <w:r>
        <w:rPr>
          <w:rFonts w:hAnsi="Arial Unicode MS" w:cs="Arial Unicode MS"/>
          <w:color w:val="FF0000"/>
          <w:sz w:val="20"/>
          <w:szCs w:val="20"/>
          <w:lang w:eastAsia="en-US"/>
        </w:rPr>
        <w:t>meteorology</w:t>
      </w:r>
      <w:bookmarkEnd w:id="31"/>
      <w:r>
        <w:rPr>
          <w:rFonts w:hAnsi="Arial Unicode MS" w:cs="Arial Unicode MS"/>
          <w:color w:val="FF0000"/>
          <w:sz w:val="20"/>
          <w:szCs w:val="20"/>
          <w:lang w:eastAsia="en-US"/>
        </w:rPr>
        <w:t xml:space="preserve"> (Nath et al., 2016), soil</w:t>
      </w:r>
      <w:r>
        <w:rPr>
          <w:color w:val="FF0000"/>
          <w:sz w:val="20"/>
          <w:szCs w:val="20"/>
        </w:rPr>
        <w:t xml:space="preserve"> (Zakian, 2017)</w:t>
      </w:r>
      <w:r>
        <w:rPr>
          <w:rFonts w:hAnsi="Arial Unicode MS" w:cs="Arial Unicode MS"/>
          <w:color w:val="FF0000"/>
          <w:sz w:val="20"/>
          <w:szCs w:val="20"/>
          <w:lang w:eastAsia="en-US"/>
        </w:rPr>
        <w:t xml:space="preserve">, </w:t>
      </w:r>
      <w:bookmarkStart w:id="32" w:name="OLE_LINK31"/>
      <w:bookmarkStart w:id="33" w:name="OLE_LINK32"/>
      <w:r>
        <w:rPr>
          <w:rFonts w:hAnsi="Arial Unicode MS" w:cs="Arial Unicode MS"/>
          <w:color w:val="FF0000"/>
          <w:sz w:val="20"/>
          <w:szCs w:val="20"/>
          <w:lang w:eastAsia="en-US"/>
        </w:rPr>
        <w:t>vegetation</w:t>
      </w:r>
      <w:bookmarkEnd w:id="32"/>
      <w:bookmarkEnd w:id="33"/>
      <w:r>
        <w:rPr>
          <w:rFonts w:hint="eastAsia" w:hAnsi="Arial Unicode MS" w:cs="Arial Unicode MS"/>
          <w:color w:val="FF0000"/>
          <w:sz w:val="20"/>
          <w:szCs w:val="20"/>
        </w:rPr>
        <w:t xml:space="preserve"> </w:t>
      </w:r>
      <w:r>
        <w:rPr>
          <w:rFonts w:hAnsi="Arial Unicode MS" w:cs="Arial Unicode MS"/>
          <w:color w:val="FF0000"/>
          <w:sz w:val="20"/>
          <w:szCs w:val="20"/>
        </w:rPr>
        <w:t>(Hilbert and Ostendorf, 2001)</w:t>
      </w:r>
      <w:r>
        <w:rPr>
          <w:rFonts w:hAnsi="Arial Unicode MS" w:cs="Arial Unicode MS"/>
          <w:color w:val="FF0000"/>
          <w:sz w:val="20"/>
          <w:szCs w:val="20"/>
          <w:lang w:eastAsia="en-US"/>
        </w:rPr>
        <w:t xml:space="preserve">, and </w:t>
      </w:r>
      <w:r>
        <w:rPr>
          <w:color w:val="FF0000"/>
          <w:sz w:val="20"/>
          <w:szCs w:val="20"/>
          <w:lang w:eastAsia="en-US"/>
        </w:rPr>
        <w:t>engineering control (Sarimveis et al., 2004).</w:t>
      </w:r>
      <w:bookmarkStart w:id="34" w:name="_Toc506920666"/>
      <w:bookmarkStart w:id="35" w:name="_Toc520101985"/>
    </w:p>
    <w:p>
      <w:pPr>
        <w:pStyle w:val="4"/>
        <w:rPr>
          <w:color w:val="FF0000"/>
        </w:rPr>
      </w:pPr>
      <w:bookmarkStart w:id="36" w:name="_Toc18569"/>
      <w:r>
        <w:rPr>
          <w:rFonts w:hint="eastAsia"/>
          <w:color w:val="FF0000"/>
        </w:rPr>
        <w:t xml:space="preserve">2.3 </w:t>
      </w:r>
      <w:r>
        <w:rPr>
          <w:color w:val="FF0000"/>
        </w:rPr>
        <w:t>Random forest</w:t>
      </w:r>
      <w:bookmarkEnd w:id="34"/>
      <w:bookmarkEnd w:id="35"/>
      <w:bookmarkEnd w:id="36"/>
    </w:p>
    <w:p>
      <w:pPr>
        <w:widowControl/>
        <w:ind w:firstLine="0" w:firstLineChars="0"/>
        <w:rPr>
          <w:color w:val="FF0000"/>
          <w:sz w:val="20"/>
          <w:szCs w:val="20"/>
        </w:rPr>
      </w:pPr>
      <w:bookmarkStart w:id="37" w:name="OLE_LINK14"/>
      <w:r>
        <w:rPr>
          <w:color w:val="FF0000"/>
          <w:sz w:val="20"/>
          <w:szCs w:val="20"/>
        </w:rPr>
        <w:t>The random forest (RF) algorithm model is a relatively new machine learning technique and data mining method developed by Breiman in 2001. It is a modern classification and regression technology that combines self-learning technologies</w:t>
      </w:r>
      <w:r>
        <w:rPr>
          <w:rFonts w:hint="eastAsia"/>
          <w:color w:val="FF0000"/>
          <w:sz w:val="20"/>
          <w:szCs w:val="20"/>
        </w:rPr>
        <w:t xml:space="preserve"> </w:t>
      </w:r>
      <w:r>
        <w:rPr>
          <w:color w:val="FF0000"/>
          <w:sz w:val="20"/>
          <w:szCs w:val="20"/>
        </w:rPr>
        <w:t>(Breiman, 2001).</w:t>
      </w:r>
      <w:r>
        <w:rPr>
          <w:rFonts w:eastAsia="Times New Roman"/>
          <w:color w:val="FF0000"/>
          <w:kern w:val="0"/>
          <w:sz w:val="20"/>
          <w:szCs w:val="24"/>
          <w:lang w:val="en-GB" w:eastAsia="de-DE"/>
        </w:rPr>
        <w:t xml:space="preserve"> In order to achieve a better performance than individual classifiers, combinatorial learning approaches integrate several individual classifiers to determine the final classification of a case.</w:t>
      </w:r>
      <w:r>
        <w:rPr>
          <w:color w:val="FF0000"/>
          <w:sz w:val="20"/>
          <w:szCs w:val="20"/>
        </w:rPr>
        <w:t xml:space="preserve"> If a single classifier is considered as a decision maker, the method of combinatorial learning is equivalent to a decision-making process involving multiple decision makers.</w:t>
      </w:r>
      <w:bookmarkEnd w:id="25"/>
      <w:bookmarkEnd w:id="37"/>
    </w:p>
    <w:p>
      <w:pPr>
        <w:pStyle w:val="3"/>
        <w:rPr>
          <w:szCs w:val="24"/>
        </w:rPr>
      </w:pPr>
      <w:bookmarkStart w:id="38" w:name="_Toc506920667"/>
      <w:bookmarkStart w:id="39" w:name="_Toc520101986"/>
      <w:bookmarkStart w:id="40" w:name="_Toc1562"/>
      <w:r>
        <w:rPr>
          <w:szCs w:val="24"/>
        </w:rPr>
        <w:t>3</w:t>
      </w:r>
      <w:bookmarkEnd w:id="38"/>
      <w:r>
        <w:rPr>
          <w:szCs w:val="24"/>
        </w:rPr>
        <w:t xml:space="preserve">. Introduction </w:t>
      </w:r>
      <w:bookmarkEnd w:id="39"/>
      <w:bookmarkStart w:id="41" w:name="OLE_LINK42"/>
      <w:bookmarkStart w:id="42" w:name="OLE_LINK41"/>
      <w:bookmarkStart w:id="43" w:name="OLE_LINK223"/>
      <w:bookmarkStart w:id="44" w:name="OLE_LINK220"/>
      <w:bookmarkStart w:id="45" w:name="OLE_LINK222"/>
      <w:bookmarkStart w:id="46" w:name="OLE_LINK221"/>
      <w:r>
        <w:rPr>
          <w:szCs w:val="24"/>
        </w:rPr>
        <w:t xml:space="preserve">to </w:t>
      </w:r>
      <w:bookmarkEnd w:id="41"/>
      <w:bookmarkEnd w:id="42"/>
      <w:r>
        <w:rPr>
          <w:szCs w:val="24"/>
        </w:rPr>
        <w:t>P-BSHADE</w:t>
      </w:r>
      <w:bookmarkEnd w:id="40"/>
    </w:p>
    <w:p>
      <w:pPr>
        <w:pStyle w:val="4"/>
      </w:pPr>
      <w:bookmarkStart w:id="47" w:name="OLE_LINK54"/>
      <w:bookmarkStart w:id="48" w:name="OLE_LINK55"/>
      <w:bookmarkStart w:id="49" w:name="_Toc24392"/>
      <w:bookmarkStart w:id="50" w:name="_Toc506920668"/>
      <w:r>
        <w:rPr>
          <w:rFonts w:hint="eastAsia"/>
        </w:rPr>
        <w:t xml:space="preserve">3.1 </w:t>
      </w:r>
      <w:r>
        <w:t>Overview of P-BSHADE</w:t>
      </w:r>
      <w:bookmarkEnd w:id="47"/>
      <w:bookmarkEnd w:id="48"/>
      <w:bookmarkEnd w:id="49"/>
      <w:bookmarkEnd w:id="50"/>
    </w:p>
    <w:p>
      <w:pPr>
        <w:ind w:firstLine="0" w:firstLineChars="0"/>
        <w:rPr>
          <w:color w:val="FF0000"/>
          <w:sz w:val="20"/>
          <w:szCs w:val="20"/>
        </w:rPr>
      </w:pPr>
      <w:r>
        <w:rPr>
          <w:color w:val="FF0000"/>
          <w:sz w:val="20"/>
          <w:szCs w:val="20"/>
        </w:rPr>
        <w:t xml:space="preserve">P-BSHADE is an extension of the BSHADE method, which stands for the best linear unbiased estimation (BLUE) model for biased-spatial-location data (Hu et al., 2013). With the BSHADE model, the spatial correlation and heterogeneity of the target data are added into the model using prior knowledge (such as forest AGB). In addition, through rectification of sample points, the BLUE model can estimate the target subjects. The strategy of the algorithm is to transform the problem into one of solving for the extremum of a multivariate function with constraint conditions, followed by using the Lagrange multiplier method and the overall estimate to acquire the corresponding parameters (Wang et al., 2011) (i.e., each sample in this method is given a certain weight, so that the variance between each sample and the true value is minimized to achieve rectification). </w:t>
      </w:r>
    </w:p>
    <w:p>
      <w:pPr>
        <w:pStyle w:val="39"/>
        <w:spacing w:before="0" w:beforeAutospacing="0" w:after="0" w:afterAutospacing="0" w:line="360" w:lineRule="auto"/>
        <w:jc w:val="both"/>
        <w:rPr>
          <w:color w:val="000000"/>
          <w:sz w:val="20"/>
          <w:szCs w:val="20"/>
        </w:rPr>
      </w:pPr>
      <w:r>
        <w:rPr>
          <w:color w:val="000000"/>
          <w:sz w:val="20"/>
          <w:szCs w:val="20"/>
        </w:rPr>
        <w:t xml:space="preserve">Based on the BSHADE method, P-BSHADE is a BLUE-based interpolation method that considers both temporal and spatial heterogeneity. It can use biased samples to deduce the corresponding attributes of regions with missing samples. Therefore, the P-BSHADE model includes the following characteristics and assumptions: (1) the spatial distribution of the target data (such as temperature and forest AGB) is heterogeneous and (2) the correlations and differences among the target data in different forests (or sites) is included in the operation of the model (Xu et al., 2013). The performance of the P-BSHADE method has been tested using average annual temperature data in China from 1950 to 2000 (Xu, 2013). </w:t>
      </w:r>
    </w:p>
    <w:p>
      <w:pPr>
        <w:pStyle w:val="4"/>
      </w:pPr>
      <w:bookmarkStart w:id="51" w:name="_Toc506920669"/>
      <w:bookmarkStart w:id="52" w:name="OLE_LINK67"/>
      <w:bookmarkStart w:id="53" w:name="OLE_LINK66"/>
      <w:bookmarkStart w:id="54" w:name="OLE_LINK68"/>
      <w:bookmarkStart w:id="55" w:name="OLE_LINK69"/>
      <w:bookmarkStart w:id="56" w:name="_Toc393"/>
      <w:r>
        <w:rPr>
          <w:rFonts w:hint="eastAsia"/>
        </w:rPr>
        <w:t xml:space="preserve">3.2 </w:t>
      </w:r>
      <w:r>
        <w:t>P-BSHADE</w:t>
      </w:r>
      <w:bookmarkEnd w:id="51"/>
      <w:bookmarkEnd w:id="52"/>
      <w:bookmarkEnd w:id="53"/>
      <w:bookmarkEnd w:id="54"/>
      <w:bookmarkEnd w:id="55"/>
      <w:r>
        <w:t xml:space="preserve"> methods</w:t>
      </w:r>
      <w:bookmarkEnd w:id="56"/>
    </w:p>
    <w:bookmarkEnd w:id="43"/>
    <w:bookmarkEnd w:id="44"/>
    <w:bookmarkEnd w:id="45"/>
    <w:bookmarkEnd w:id="46"/>
    <w:p>
      <w:pPr>
        <w:pStyle w:val="48"/>
        <w:spacing w:line="360" w:lineRule="auto"/>
        <w:ind w:firstLine="0" w:firstLineChars="0"/>
        <w:rPr>
          <w:b/>
          <w:sz w:val="20"/>
        </w:rPr>
      </w:pPr>
      <w:bookmarkStart w:id="57" w:name="OLE_LINK203"/>
      <w:bookmarkStart w:id="58" w:name="OLE_LINK204"/>
      <w:bookmarkStart w:id="59" w:name="OLE_LINK205"/>
      <w:r>
        <w:rPr>
          <w:b/>
          <w:sz w:val="20"/>
        </w:rPr>
        <w:t>a. Objective</w:t>
      </w:r>
    </w:p>
    <w:p>
      <w:pPr>
        <w:pStyle w:val="48"/>
        <w:spacing w:line="360" w:lineRule="auto"/>
        <w:ind w:firstLine="0" w:firstLineChars="0"/>
        <w:rPr>
          <w:sz w:val="20"/>
        </w:rPr>
      </w:pPr>
      <w:r>
        <w:rPr>
          <w:sz w:val="20"/>
        </w:rPr>
        <w:t xml:space="preserve">The objective is to interpolate the AGB data </w:t>
      </w:r>
      <w:r>
        <w:rPr>
          <w:rFonts w:hint="eastAsia"/>
          <w:sz w:val="20"/>
        </w:rPr>
        <w:t xml:space="preserve">of </w:t>
      </w:r>
      <w:r>
        <w:rPr>
          <w:sz w:val="20"/>
        </w:rPr>
        <w:t xml:space="preserve">the </w:t>
      </w:r>
      <w:r>
        <w:rPr>
          <w:rFonts w:hint="eastAsia"/>
          <w:sz w:val="20"/>
        </w:rPr>
        <w:t xml:space="preserve">target sample plot (in </w:t>
      </w:r>
      <w:r>
        <w:rPr>
          <w:sz w:val="20"/>
        </w:rPr>
        <w:t xml:space="preserve">the </w:t>
      </w:r>
      <w:r>
        <w:rPr>
          <w:rFonts w:hint="eastAsia"/>
          <w:sz w:val="20"/>
        </w:rPr>
        <w:t xml:space="preserve">modeling process) or forest patch (in </w:t>
      </w:r>
      <w:r>
        <w:rPr>
          <w:sz w:val="20"/>
        </w:rPr>
        <w:t xml:space="preserve">the </w:t>
      </w:r>
      <w:r>
        <w:rPr>
          <w:rFonts w:hint="eastAsia"/>
          <w:sz w:val="20"/>
        </w:rPr>
        <w:t>model application process)</w:t>
      </w:r>
      <w:r>
        <w:rPr>
          <w:sz w:val="20"/>
        </w:rPr>
        <w:t xml:space="preserve"> using data acquired from other </w:t>
      </w:r>
      <w:r>
        <w:rPr>
          <w:rFonts w:hint="eastAsia"/>
          <w:sz w:val="20"/>
        </w:rPr>
        <w:t>sample plots or</w:t>
      </w:r>
      <w:r>
        <w:rPr>
          <w:sz w:val="20"/>
        </w:rPr>
        <w:t xml:space="preserve"> forest patches. </w:t>
      </w:r>
      <w:r>
        <w:rPr>
          <w:rFonts w:hint="eastAsia"/>
          <w:sz w:val="20"/>
        </w:rPr>
        <w:t>Here</w:t>
      </w:r>
      <w:r>
        <w:rPr>
          <w:sz w:val="20"/>
        </w:rPr>
        <w:t>,</w:t>
      </w:r>
      <w:r>
        <w:rPr>
          <w:rFonts w:hint="eastAsia"/>
          <w:sz w:val="20"/>
        </w:rPr>
        <w:t xml:space="preserve"> we introduce</w:t>
      </w:r>
      <w:r>
        <w:rPr>
          <w:sz w:val="20"/>
        </w:rPr>
        <w:t xml:space="preserve"> the method used to</w:t>
      </w:r>
      <w:r>
        <w:rPr>
          <w:rFonts w:hint="eastAsia"/>
          <w:sz w:val="20"/>
        </w:rPr>
        <w:t xml:space="preserve"> </w:t>
      </w:r>
      <w:r>
        <w:rPr>
          <w:sz w:val="20"/>
        </w:rPr>
        <w:t>interpolate the AGB data in the</w:t>
      </w:r>
      <w:r>
        <w:rPr>
          <w:rFonts w:hint="eastAsia"/>
          <w:sz w:val="20"/>
        </w:rPr>
        <w:t xml:space="preserve"> target sample plot</w:t>
      </w:r>
      <w:r>
        <w:rPr>
          <w:sz w:val="20"/>
        </w:rPr>
        <w:t>s</w:t>
      </w:r>
      <w:r>
        <w:rPr>
          <w:rFonts w:hint="eastAsia"/>
          <w:sz w:val="20"/>
        </w:rPr>
        <w:t xml:space="preserve">. </w:t>
      </w:r>
      <w:r>
        <w:rPr>
          <w:sz w:val="20"/>
        </w:rPr>
        <w:t>A theoretical description is expressed as:</w:t>
      </w:r>
    </w:p>
    <w:p>
      <w:pPr>
        <w:wordWrap w:val="0"/>
        <w:ind w:firstLine="0" w:firstLineChars="0"/>
        <w:jc w:val="right"/>
        <w:rPr>
          <w:sz w:val="20"/>
          <w:szCs w:val="20"/>
        </w:rPr>
      </w:pPr>
      <m:oMath>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r>
          <w:rPr>
            <w:rFonts w:ascii="Cambria Math" w:hAnsi="Cambria Math"/>
            <w:sz w:val="20"/>
            <w:szCs w:val="20"/>
          </w:rPr>
          <m:t>=</m:t>
        </m:r>
        <m:sSubSup>
          <m:sSubSupPr>
            <m:ctrlPr>
              <w:rPr>
                <w:rFonts w:ascii="Cambria Math" w:hAnsi="Cambria Math"/>
                <w:sz w:val="20"/>
                <w:szCs w:val="20"/>
              </w:rPr>
            </m:ctrlPr>
          </m:sSubSupPr>
          <m:e>
            <m:r>
              <w:rPr>
                <w:rFonts w:ascii="Cambria Math" w:hAnsi="Cambria Math"/>
                <w:sz w:val="20"/>
                <w:szCs w:val="20"/>
              </w:rPr>
              <m:t>Σ</m:t>
            </m:r>
            <m:ctrlPr>
              <w:rPr>
                <w:rFonts w:ascii="Cambria Math" w:hAnsi="Cambria Math"/>
                <w:sz w:val="20"/>
                <w:szCs w:val="20"/>
              </w:rPr>
            </m:ctrlPr>
          </m:e>
          <m:sub>
            <m:r>
              <w:rPr>
                <w:rFonts w:ascii="Cambria Math" w:hAnsi="Cambria Math"/>
                <w:sz w:val="20"/>
                <w:szCs w:val="20"/>
              </w:rPr>
              <m:t>i=1</m:t>
            </m:r>
            <m:ctrlPr>
              <w:rPr>
                <w:rFonts w:ascii="Cambria Math" w:hAnsi="Cambria Math"/>
                <w:sz w:val="20"/>
                <w:szCs w:val="20"/>
              </w:rPr>
            </m:ctrlPr>
          </m:sub>
          <m:sup>
            <m:r>
              <w:rPr>
                <w:rFonts w:ascii="Cambria Math" w:hAnsi="Cambria Math"/>
                <w:sz w:val="20"/>
                <w:szCs w:val="20"/>
              </w:rPr>
              <m:t>n</m:t>
            </m:r>
            <m:ctrlPr>
              <w:rPr>
                <w:rFonts w:ascii="Cambria Math" w:hAnsi="Cambria Math"/>
                <w:sz w:val="20"/>
                <w:szCs w:val="20"/>
              </w:rPr>
            </m:ctrlPr>
          </m:sup>
        </m:sSubSup>
        <m:sSub>
          <m:sSubPr>
            <m:ctrlPr>
              <w:rPr>
                <w:rFonts w:ascii="Cambria Math" w:hAnsi="Cambria Math"/>
                <w:sz w:val="20"/>
                <w:szCs w:val="20"/>
              </w:rPr>
            </m:ctrlPr>
          </m:sSubPr>
          <m:e>
            <m:r>
              <w:rPr>
                <w:rFonts w:ascii="Cambria Math" w:hAnsi="Cambria Math"/>
                <w:sz w:val="20"/>
                <w:szCs w:val="20"/>
              </w:rPr>
              <m:t>w</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i</m:t>
            </m:r>
            <m:ctrlPr>
              <w:rPr>
                <w:rFonts w:ascii="Cambria Math" w:hAnsi="Cambria Math"/>
                <w:sz w:val="20"/>
                <w:szCs w:val="20"/>
              </w:rPr>
            </m:ctrlPr>
          </m:sub>
        </m:sSub>
      </m:oMath>
      <w:r>
        <w:rPr>
          <w:sz w:val="20"/>
          <w:szCs w:val="20"/>
        </w:rPr>
        <w:t xml:space="preserve">                           </w:t>
      </w:r>
      <w:bookmarkStart w:id="60" w:name="OLE_LINK156"/>
      <w:bookmarkStart w:id="61" w:name="OLE_LINK157"/>
      <w:r>
        <w:rPr>
          <w:sz w:val="20"/>
          <w:szCs w:val="20"/>
        </w:rPr>
        <w:t>(</w:t>
      </w:r>
      <w:r>
        <w:rPr>
          <w:rFonts w:hint="eastAsia"/>
          <w:sz w:val="20"/>
          <w:szCs w:val="20"/>
        </w:rPr>
        <w:t>A.1</w:t>
      </w:r>
      <w:r>
        <w:rPr>
          <w:sz w:val="20"/>
          <w:szCs w:val="20"/>
        </w:rPr>
        <w:t>)</w:t>
      </w:r>
      <w:bookmarkEnd w:id="60"/>
      <w:bookmarkEnd w:id="61"/>
    </w:p>
    <w:p>
      <w:pPr>
        <w:pStyle w:val="38"/>
        <w:spacing w:before="0" w:after="0" w:line="360" w:lineRule="auto"/>
        <w:jc w:val="both"/>
        <w:rPr>
          <w:rFonts w:ascii="Times New Roman" w:hAnsi="Times New Roman"/>
          <w:sz w:val="20"/>
          <w:szCs w:val="20"/>
        </w:rPr>
      </w:pPr>
      <w:r>
        <w:rPr>
          <w:rFonts w:ascii="Times New Roman" w:hAnsi="Times New Roman"/>
          <w:sz w:val="20"/>
          <w:szCs w:val="20"/>
        </w:rPr>
        <w:t xml:space="preserve">where </w:t>
      </w:r>
      <m:oMath>
        <m:sSub>
          <m:sSubPr>
            <m:ctrlPr>
              <w:rPr>
                <w:rFonts w:ascii="Cambria Math" w:hAnsi="Cambria Math"/>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sz w:val="20"/>
                <w:szCs w:val="20"/>
              </w:rPr>
            </m:ctrlPr>
          </m:e>
          <m:sub>
            <m:r>
              <w:rPr>
                <w:rFonts w:ascii="Cambria Math" w:hAnsi="Cambria Math"/>
                <w:sz w:val="20"/>
                <w:szCs w:val="20"/>
              </w:rPr>
              <m:t>j</m:t>
            </m:r>
            <m:ctrlPr>
              <w:rPr>
                <w:rFonts w:ascii="Cambria Math" w:hAnsi="Cambria Math"/>
                <w:sz w:val="20"/>
                <w:szCs w:val="20"/>
              </w:rPr>
            </m:ctrlPr>
          </m:sub>
        </m:sSub>
      </m:oMath>
      <w:r>
        <w:rPr>
          <w:rFonts w:ascii="Times New Roman" w:hAnsi="Times New Roman"/>
          <w:sz w:val="20"/>
          <w:szCs w:val="20"/>
        </w:rPr>
        <w:t xml:space="preserve"> is the estimated AGB of the </w:t>
      </w:r>
      <w:r>
        <w:rPr>
          <w:rFonts w:ascii="Times New Roman" w:hAnsi="Times New Roman"/>
          <w:i/>
          <w:sz w:val="20"/>
          <w:szCs w:val="20"/>
        </w:rPr>
        <w:t>j</w:t>
      </w:r>
      <w:r>
        <w:rPr>
          <w:rFonts w:ascii="Times New Roman" w:hAnsi="Times New Roman"/>
          <w:sz w:val="20"/>
          <w:szCs w:val="20"/>
        </w:rPr>
        <w:t xml:space="preserve">th sample plot by P-BSHADE </w:t>
      </w:r>
      <m:oMath>
        <m:d>
          <m:dPr>
            <m:ctrlPr>
              <w:rPr>
                <w:rFonts w:ascii="Cambria Math" w:hAnsi="Cambria Math"/>
                <w:sz w:val="20"/>
                <w:szCs w:val="20"/>
              </w:rPr>
            </m:ctrlPr>
          </m:dPr>
          <m:e>
            <m:r>
              <w:rPr>
                <w:rFonts w:ascii="Cambria Math" w:hAnsi="Cambria Math"/>
                <w:sz w:val="20"/>
                <w:szCs w:val="20"/>
              </w:rPr>
              <m:t>j=1-30, n=30</m:t>
            </m:r>
            <m:ctrlPr>
              <w:rPr>
                <w:rFonts w:ascii="Cambria Math" w:hAnsi="Cambria Math"/>
                <w:sz w:val="20"/>
                <w:szCs w:val="20"/>
              </w:rPr>
            </m:ctrlPr>
          </m:e>
        </m:d>
      </m:oMath>
      <w:r>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i</m:t>
            </m:r>
            <m:ctrlPr>
              <w:rPr>
                <w:rFonts w:ascii="Cambria Math" w:hAnsi="Cambria Math"/>
                <w:sz w:val="20"/>
                <w:szCs w:val="20"/>
              </w:rPr>
            </m:ctrlPr>
          </m:sub>
        </m:sSub>
      </m:oMath>
      <w:r>
        <w:rPr>
          <w:rFonts w:ascii="Times New Roman" w:hAnsi="Times New Roman"/>
          <w:sz w:val="20"/>
          <w:szCs w:val="20"/>
        </w:rPr>
        <w:t xml:space="preserve"> is the reference AGB of the </w:t>
      </w:r>
      <w:r>
        <w:rPr>
          <w:rFonts w:ascii="Times New Roman" w:hAnsi="Times New Roman"/>
          <w:i/>
          <w:sz w:val="20"/>
          <w:szCs w:val="20"/>
        </w:rPr>
        <w:t>i</w:t>
      </w:r>
      <w:r>
        <w:rPr>
          <w:rFonts w:ascii="Times New Roman" w:hAnsi="Times New Roman"/>
          <w:sz w:val="20"/>
          <w:szCs w:val="20"/>
        </w:rPr>
        <w:t xml:space="preserve">th sample plot </w:t>
      </w:r>
      <m:oMath>
        <m:d>
          <m:dPr>
            <m:ctrlPr>
              <w:rPr>
                <w:rFonts w:ascii="Cambria Math" w:hAnsi="Cambria Math"/>
                <w:sz w:val="20"/>
                <w:szCs w:val="20"/>
              </w:rPr>
            </m:ctrlPr>
          </m:dPr>
          <m:e>
            <m:r>
              <w:rPr>
                <w:rFonts w:ascii="Cambria Math" w:hAnsi="Cambria Math"/>
                <w:sz w:val="20"/>
                <w:szCs w:val="20"/>
              </w:rPr>
              <m:t>i=1~30, n=30</m:t>
            </m:r>
            <m:ctrlPr>
              <w:rPr>
                <w:rFonts w:ascii="Cambria Math" w:hAnsi="Cambria Math"/>
                <w:sz w:val="20"/>
                <w:szCs w:val="20"/>
              </w:rPr>
            </m:ctrlPr>
          </m:e>
        </m:d>
      </m:oMath>
      <w:r>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w</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oMath>
      <w:r>
        <w:rPr>
          <w:rFonts w:ascii="Times New Roman" w:hAnsi="Times New Roman"/>
          <w:sz w:val="20"/>
          <w:szCs w:val="20"/>
        </w:rPr>
        <w:t xml:space="preserve"> is the weight (contribution) of the </w:t>
      </w:r>
      <w:bookmarkStart w:id="62" w:name="OLE_LINK136"/>
      <w:bookmarkStart w:id="63" w:name="OLE_LINK135"/>
      <w:bookmarkStart w:id="64" w:name="OLE_LINK137"/>
      <w:r>
        <w:rPr>
          <w:rFonts w:ascii="Times New Roman" w:hAnsi="Times New Roman"/>
          <w:i/>
          <w:sz w:val="20"/>
          <w:szCs w:val="20"/>
        </w:rPr>
        <w:t>i</w:t>
      </w:r>
      <w:r>
        <w:rPr>
          <w:rFonts w:ascii="Times New Roman" w:hAnsi="Times New Roman"/>
          <w:sz w:val="20"/>
          <w:szCs w:val="20"/>
        </w:rPr>
        <w:t>th</w:t>
      </w:r>
      <w:bookmarkEnd w:id="62"/>
      <w:bookmarkEnd w:id="63"/>
      <w:bookmarkEnd w:id="64"/>
      <w:r>
        <w:rPr>
          <w:rFonts w:ascii="Times New Roman" w:hAnsi="Times New Roman"/>
          <w:sz w:val="20"/>
          <w:szCs w:val="20"/>
        </w:rPr>
        <w:t xml:space="preserve"> reference sample plot AGB to the </w:t>
      </w:r>
      <w:r>
        <w:rPr>
          <w:rFonts w:ascii="Times New Roman" w:hAnsi="Times New Roman"/>
          <w:i/>
          <w:sz w:val="20"/>
          <w:szCs w:val="20"/>
        </w:rPr>
        <w:t>j</w:t>
      </w:r>
      <w:r>
        <w:rPr>
          <w:rFonts w:ascii="Times New Roman" w:hAnsi="Times New Roman"/>
          <w:sz w:val="20"/>
          <w:szCs w:val="20"/>
        </w:rPr>
        <w:t xml:space="preserve">th sample plot AGB to be interpolated (when </w:t>
      </w:r>
      <m:oMath>
        <m:r>
          <w:rPr>
            <w:rFonts w:ascii="Cambria Math" w:hAnsi="Cambria Math"/>
            <w:sz w:val="20"/>
            <w:szCs w:val="20"/>
          </w:rPr>
          <m:t>j=1,i=2~30</m:t>
        </m:r>
      </m:oMath>
      <w:r>
        <w:rPr>
          <w:rFonts w:ascii="Times New Roman" w:hAnsi="Times New Roman"/>
          <w:sz w:val="20"/>
          <w:szCs w:val="20"/>
        </w:rPr>
        <w:t xml:space="preserve">; when </w:t>
      </w:r>
      <m:oMath>
        <m:r>
          <w:rPr>
            <w:rFonts w:ascii="Cambria Math" w:hAnsi="Cambria Math"/>
            <w:sz w:val="20"/>
            <w:szCs w:val="20"/>
          </w:rPr>
          <m:t>j=1,i=1,  3-30</m:t>
        </m:r>
      </m:oMath>
      <w:r>
        <w:rPr>
          <w:rFonts w:ascii="Times New Roman" w:hAnsi="Times New Roman"/>
          <w:sz w:val="20"/>
          <w:szCs w:val="20"/>
        </w:rPr>
        <w:t>). As expected, the estimates of the two properties in Eq. (</w:t>
      </w:r>
      <w:r>
        <w:rPr>
          <w:rFonts w:hint="eastAsia" w:ascii="Times New Roman" w:hAnsi="Times New Roman"/>
          <w:sz w:val="20"/>
          <w:szCs w:val="20"/>
        </w:rPr>
        <w:t>1</w:t>
      </w:r>
      <w:r>
        <w:rPr>
          <w:rFonts w:ascii="Times New Roman" w:hAnsi="Times New Roman"/>
          <w:sz w:val="20"/>
          <w:szCs w:val="20"/>
        </w:rPr>
        <w:t>) are unbiased:</w:t>
      </w:r>
    </w:p>
    <w:p>
      <w:pPr>
        <w:pStyle w:val="7"/>
        <w:spacing w:after="0"/>
        <w:ind w:firstLine="0" w:firstLineChars="0"/>
        <w:jc w:val="right"/>
        <w:rPr>
          <w:sz w:val="20"/>
          <w:szCs w:val="20"/>
        </w:rPr>
      </w:pPr>
      <m:oMath>
        <m:r>
          <w:rPr>
            <w:rFonts w:ascii="Cambria Math" w:hAnsi="Cambria Math"/>
            <w:sz w:val="20"/>
            <w:szCs w:val="20"/>
          </w:rPr>
          <m:t>E(</m:t>
        </m:r>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j</m:t>
            </m:r>
            <m:ctrlPr>
              <w:rPr>
                <w:rFonts w:ascii="Cambria Math" w:hAnsi="Cambria Math"/>
                <w:sz w:val="20"/>
                <w:szCs w:val="20"/>
              </w:rPr>
            </m:ctrlPr>
          </m:sub>
        </m:sSub>
        <m:r>
          <w:rPr>
            <w:rFonts w:ascii="Cambria Math" w:hAnsi="Cambria Math"/>
            <w:sz w:val="20"/>
            <w:szCs w:val="20"/>
          </w:rPr>
          <m:t>)=E</m:t>
        </m:r>
        <m:d>
          <m:dPr>
            <m:ctrlPr>
              <w:rPr>
                <w:rFonts w:ascii="Cambria Math" w:hAnsi="Cambria Math"/>
                <w:i/>
                <w:sz w:val="20"/>
                <w:szCs w:val="20"/>
              </w:rPr>
            </m:ctrlPr>
          </m:dPr>
          <m:e>
            <m:groupChr>
              <m:groupChrPr>
                <m:chr m:val="^"/>
                <m:pos m:val="top"/>
                <m:vertJc m:val="bot"/>
                <m:ctrlPr>
                  <w:rPr>
                    <w:rFonts w:ascii="Cambria Math" w:hAnsi="Cambria Math"/>
                    <w:sz w:val="20"/>
                    <w:szCs w:val="20"/>
                  </w:rPr>
                </m:ctrlPr>
              </m:groupChrPr>
              <m:e>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j</m:t>
                    </m:r>
                    <m:ctrlPr>
                      <w:rPr>
                        <w:rFonts w:ascii="Cambria Math" w:hAnsi="Cambria Math"/>
                        <w:sz w:val="20"/>
                        <w:szCs w:val="20"/>
                      </w:rPr>
                    </m:ctrlPr>
                  </m:sub>
                </m:sSub>
                <m:ctrlPr>
                  <w:rPr>
                    <w:rFonts w:ascii="Cambria Math" w:hAnsi="Cambria Math"/>
                    <w:sz w:val="20"/>
                    <w:szCs w:val="20"/>
                  </w:rPr>
                </m:ctrlPr>
              </m:e>
            </m:groupChr>
            <m:ctrlPr>
              <w:rPr>
                <w:rFonts w:ascii="Cambria Math" w:hAnsi="Cambria Math"/>
                <w:i/>
                <w:sz w:val="20"/>
                <w:szCs w:val="20"/>
              </w:rPr>
            </m:ctrlPr>
          </m:e>
        </m:d>
      </m:oMath>
      <w:r>
        <w:rPr>
          <w:sz w:val="20"/>
          <w:szCs w:val="20"/>
        </w:rPr>
        <w:t xml:space="preserve">                            </w:t>
      </w:r>
      <w:bookmarkStart w:id="65" w:name="OLE_LINK164"/>
      <w:bookmarkStart w:id="66" w:name="OLE_LINK165"/>
      <w:r>
        <w:rPr>
          <w:sz w:val="20"/>
          <w:szCs w:val="20"/>
        </w:rPr>
        <w:t xml:space="preserve"> (</w:t>
      </w:r>
      <w:r>
        <w:rPr>
          <w:rFonts w:hint="eastAsia"/>
          <w:sz w:val="20"/>
          <w:szCs w:val="20"/>
        </w:rPr>
        <w:t>A.2</w:t>
      </w:r>
      <w:r>
        <w:rPr>
          <w:sz w:val="20"/>
          <w:szCs w:val="20"/>
        </w:rPr>
        <w:t>)</w:t>
      </w:r>
      <w:bookmarkEnd w:id="65"/>
      <w:bookmarkEnd w:id="66"/>
    </w:p>
    <w:p>
      <w:pPr>
        <w:pStyle w:val="38"/>
        <w:spacing w:before="0" w:after="0" w:line="360" w:lineRule="auto"/>
        <w:rPr>
          <w:rFonts w:ascii="Times New Roman" w:hAnsi="Times New Roman"/>
          <w:sz w:val="20"/>
          <w:szCs w:val="20"/>
        </w:rPr>
      </w:pPr>
      <w:r>
        <w:rPr>
          <w:rFonts w:ascii="Times New Roman" w:hAnsi="Times New Roman"/>
          <w:sz w:val="20"/>
          <w:szCs w:val="20"/>
        </w:rPr>
        <w:t>Minimum estimation variance is expressed as:</w:t>
      </w:r>
    </w:p>
    <w:p>
      <w:pPr>
        <w:pStyle w:val="7"/>
        <w:wordWrap w:val="0"/>
        <w:spacing w:after="0"/>
        <w:ind w:firstLine="0" w:firstLineChars="0"/>
        <w:jc w:val="right"/>
        <w:rPr>
          <w:sz w:val="20"/>
          <w:szCs w:val="20"/>
        </w:rPr>
      </w:pPr>
      <m:oMath>
        <m:sSub>
          <m:sSubPr>
            <m:ctrlPr>
              <w:rPr>
                <w:rFonts w:ascii="Cambria Math" w:hAnsi="Cambria Math"/>
                <w:sz w:val="20"/>
                <w:szCs w:val="20"/>
              </w:rPr>
            </m:ctrlPr>
          </m:sSubPr>
          <m:e>
            <m:r>
              <w:rPr>
                <w:rFonts w:ascii="Cambria Math" w:hAnsi="Cambria Math"/>
                <w:sz w:val="20"/>
                <w:szCs w:val="20"/>
              </w:rPr>
              <m:t>min</m:t>
            </m:r>
            <m:ctrlPr>
              <w:rPr>
                <w:rFonts w:ascii="Cambria Math" w:hAnsi="Cambria Math"/>
                <w:sz w:val="20"/>
                <w:szCs w:val="20"/>
              </w:rPr>
            </m:ctrlPr>
          </m:e>
          <m:sub>
            <m:r>
              <w:rPr>
                <w:rFonts w:ascii="Cambria Math" w:hAnsi="Cambria Math"/>
                <w:sz w:val="20"/>
                <w:szCs w:val="20"/>
              </w:rPr>
              <m:t>w</m:t>
            </m:r>
            <m:ctrlPr>
              <w:rPr>
                <w:rFonts w:ascii="Cambria Math" w:hAnsi="Cambria Math"/>
                <w:sz w:val="20"/>
                <w:szCs w:val="20"/>
              </w:rPr>
            </m:ctrlPr>
          </m:sub>
        </m:sSub>
        <m:d>
          <m:dPr>
            <m:begChr m:val="["/>
            <m:endChr m:val="]"/>
            <m:ctrlPr>
              <w:rPr>
                <w:rFonts w:ascii="Cambria Math" w:hAnsi="Cambria Math"/>
                <w:i/>
                <w:sz w:val="20"/>
                <w:szCs w:val="20"/>
              </w:rPr>
            </m:ctrlPr>
          </m:dPr>
          <m:e>
            <m:sSubSup>
              <m:sSubSupPr>
                <m:ctrlPr>
                  <w:rPr>
                    <w:rFonts w:ascii="Cambria Math" w:hAnsi="Cambria Math"/>
                    <w:i/>
                    <w:sz w:val="20"/>
                    <w:szCs w:val="20"/>
                  </w:rPr>
                </m:ctrlPr>
              </m:sSubSupPr>
              <m:e>
                <m:r>
                  <w:rPr>
                    <w:rFonts w:ascii="Cambria Math" w:hAnsi="Cambria Math"/>
                    <w:sz w:val="20"/>
                    <w:szCs w:val="20"/>
                  </w:rPr>
                  <m:t>σ</m:t>
                </m:r>
                <m:ctrlPr>
                  <w:rPr>
                    <w:rFonts w:ascii="Cambria Math" w:hAnsi="Cambria Math"/>
                    <w:i/>
                    <w:sz w:val="20"/>
                    <w:szCs w:val="20"/>
                  </w:rPr>
                </m:ctrlPr>
              </m:e>
              <m:sub>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ctrlPr>
                  <w:rPr>
                    <w:rFonts w:ascii="Cambria Math" w:hAnsi="Cambria Math"/>
                    <w:i/>
                    <w:sz w:val="20"/>
                    <w:szCs w:val="20"/>
                  </w:rPr>
                </m:ctrlPr>
              </m:sub>
              <m:sup>
                <m:r>
                  <w:rPr>
                    <w:rFonts w:ascii="Cambria Math" w:hAnsi="Cambria Math"/>
                    <w:sz w:val="20"/>
                    <w:szCs w:val="20"/>
                  </w:rPr>
                  <m:t>2</m:t>
                </m:r>
                <m:ctrlPr>
                  <w:rPr>
                    <w:rFonts w:ascii="Cambria Math" w:hAnsi="Cambria Math"/>
                    <w:i/>
                    <w:sz w:val="20"/>
                    <w:szCs w:val="20"/>
                  </w:rPr>
                </m:ctrlPr>
              </m:sup>
            </m:sSubSup>
            <m:r>
              <w:rPr>
                <w:rFonts w:ascii="Cambria Math" w:hAnsi="Cambria Math"/>
                <w:sz w:val="20"/>
                <w:szCs w:val="20"/>
              </w:rPr>
              <m:t>=E</m:t>
            </m:r>
            <m:sSup>
              <m:sSupPr>
                <m:ctrlPr>
                  <w:rPr>
                    <w:rFonts w:ascii="Cambria Math" w:hAnsi="Cambria Math"/>
                    <w:i/>
                    <w:sz w:val="20"/>
                    <w:szCs w:val="20"/>
                  </w:rPr>
                </m:ctrlPr>
              </m:sSupPr>
              <m:e>
                <m:d>
                  <m:dPr>
                    <m:ctrlPr>
                      <w:rPr>
                        <w:rFonts w:ascii="Cambria Math" w:hAnsi="Cambria Math"/>
                        <w:i/>
                        <w:sz w:val="20"/>
                        <w:szCs w:val="20"/>
                      </w:rPr>
                    </m:ctrlPr>
                  </m:dPr>
                  <m:e>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i/>
                    <w:sz w:val="20"/>
                    <w:szCs w:val="20"/>
                  </w:rPr>
                </m:ctrlPr>
              </m:e>
              <m:sup>
                <m:r>
                  <w:rPr>
                    <w:rFonts w:ascii="Cambria Math" w:hAnsi="Cambria Math"/>
                    <w:sz w:val="20"/>
                    <w:szCs w:val="20"/>
                  </w:rPr>
                  <m:t>2</m:t>
                </m:r>
                <m:ctrlPr>
                  <w:rPr>
                    <w:rFonts w:ascii="Cambria Math" w:hAnsi="Cambria Math"/>
                    <w:i/>
                    <w:sz w:val="20"/>
                    <w:szCs w:val="20"/>
                  </w:rPr>
                </m:ctrlPr>
              </m:sup>
            </m:sSup>
            <m:ctrlPr>
              <w:rPr>
                <w:rFonts w:ascii="Cambria Math" w:hAnsi="Cambria Math"/>
                <w:i/>
                <w:sz w:val="20"/>
                <w:szCs w:val="20"/>
              </w:rPr>
            </m:ctrlPr>
          </m:e>
        </m:d>
      </m:oMath>
      <w:r>
        <w:rPr>
          <w:sz w:val="20"/>
          <w:szCs w:val="20"/>
        </w:rPr>
        <w:t xml:space="preserve">                    (</w:t>
      </w:r>
      <w:r>
        <w:rPr>
          <w:rFonts w:hint="eastAsia"/>
          <w:sz w:val="20"/>
          <w:szCs w:val="20"/>
        </w:rPr>
        <w:t>A.3</w:t>
      </w:r>
      <w:r>
        <w:rPr>
          <w:sz w:val="20"/>
          <w:szCs w:val="20"/>
        </w:rPr>
        <w:t>)</w:t>
      </w:r>
    </w:p>
    <w:p>
      <w:pPr>
        <w:pStyle w:val="48"/>
        <w:spacing w:line="360" w:lineRule="auto"/>
        <w:ind w:firstLine="0" w:firstLineChars="0"/>
        <w:rPr>
          <w:kern w:val="0"/>
          <w:sz w:val="20"/>
        </w:rPr>
      </w:pPr>
      <w:r>
        <w:rPr>
          <w:kern w:val="0"/>
          <w:sz w:val="20"/>
        </w:rPr>
        <w:t>where</w:t>
      </w:r>
      <w:r>
        <w:rPr>
          <w:i/>
          <w:iCs/>
          <w:kern w:val="0"/>
          <w:sz w:val="20"/>
        </w:rPr>
        <w:t xml:space="preserve"> </w:t>
      </w:r>
      <m:oMath>
        <m:r>
          <w:rPr>
            <w:rFonts w:ascii="Cambria Math" w:hAnsi="Cambria Math"/>
            <w:kern w:val="0"/>
            <w:sz w:val="20"/>
          </w:rPr>
          <m:t>E</m:t>
        </m:r>
      </m:oMath>
      <w:r>
        <w:rPr>
          <w:kern w:val="0"/>
          <w:sz w:val="20"/>
        </w:rPr>
        <w:t xml:space="preserve"> is the statistical expectation and</w:t>
      </w:r>
      <w:r>
        <w:rPr>
          <w:rFonts w:hint="eastAsia"/>
          <w:kern w:val="0"/>
          <w:sz w:val="20"/>
        </w:rPr>
        <w:t xml:space="preserve"> </w:t>
      </w:r>
      <m:oMath>
        <m:sSub>
          <m:sSubPr>
            <m:ctrlPr>
              <w:rPr>
                <w:rFonts w:ascii="Cambria Math" w:hAnsi="Cambria Math"/>
                <w:sz w:val="20"/>
              </w:rPr>
            </m:ctrlPr>
          </m:sSubPr>
          <m:e>
            <m:acc>
              <m:accPr>
                <m:ctrlPr>
                  <w:rPr>
                    <w:rFonts w:ascii="Cambria Math" w:hAnsi="Cambria Math"/>
                    <w:i/>
                    <w:sz w:val="20"/>
                  </w:rPr>
                </m:ctrlPr>
              </m:accPr>
              <m:e>
                <m:r>
                  <w:rPr>
                    <w:rFonts w:ascii="Cambria Math" w:hAnsi="Cambria Math"/>
                    <w:sz w:val="20"/>
                  </w:rPr>
                  <m:t>y</m:t>
                </m:r>
                <m:ctrlPr>
                  <w:rPr>
                    <w:rFonts w:ascii="Cambria Math" w:hAnsi="Cambria Math"/>
                    <w:i/>
                    <w:sz w:val="20"/>
                  </w:rPr>
                </m:ctrlPr>
              </m:e>
            </m:acc>
            <m:ctrlPr>
              <w:rPr>
                <w:rFonts w:ascii="Cambria Math" w:hAnsi="Cambria Math"/>
                <w:sz w:val="20"/>
              </w:rPr>
            </m:ctrlPr>
          </m:e>
          <m:sub>
            <m:r>
              <w:rPr>
                <w:rFonts w:ascii="Cambria Math" w:hAnsi="Cambria Math"/>
                <w:sz w:val="20"/>
              </w:rPr>
              <m:t>j</m:t>
            </m:r>
            <m:ctrlPr>
              <w:rPr>
                <w:rFonts w:ascii="Cambria Math" w:hAnsi="Cambria Math"/>
                <w:sz w:val="20"/>
              </w:rPr>
            </m:ctrlPr>
          </m:sub>
        </m:sSub>
        <m:r>
          <w:rPr>
            <w:rFonts w:ascii="Cambria Math" w:hAnsi="Cambria Math"/>
            <w:sz w:val="20"/>
          </w:rPr>
          <m:t xml:space="preserve"> </m:t>
        </m:r>
      </m:oMath>
      <w:r>
        <w:rPr>
          <w:rFonts w:hint="eastAsia"/>
          <w:kern w:val="0"/>
          <w:sz w:val="20"/>
        </w:rPr>
        <w:t>is the estimate</w:t>
      </w:r>
      <w:r>
        <w:rPr>
          <w:kern w:val="0"/>
          <w:sz w:val="20"/>
        </w:rPr>
        <w:t>d</w:t>
      </w:r>
      <w:r>
        <w:rPr>
          <w:rFonts w:hint="eastAsia"/>
          <w:kern w:val="0"/>
          <w:sz w:val="20"/>
        </w:rPr>
        <w:t xml:space="preserve"> AGB of the target plot</w:t>
      </w:r>
      <w:r>
        <w:rPr>
          <w:kern w:val="0"/>
          <w:sz w:val="20"/>
        </w:rPr>
        <w:t>.</w:t>
      </w:r>
    </w:p>
    <w:p>
      <w:pPr>
        <w:pStyle w:val="48"/>
        <w:spacing w:line="360" w:lineRule="auto"/>
        <w:ind w:firstLine="0" w:firstLineChars="0"/>
        <w:rPr>
          <w:b/>
          <w:kern w:val="0"/>
          <w:sz w:val="20"/>
          <w:lang w:eastAsia="en-US"/>
        </w:rPr>
      </w:pPr>
      <w:r>
        <w:rPr>
          <w:b/>
          <w:kern w:val="0"/>
          <w:sz w:val="20"/>
          <w:lang w:eastAsia="en-US"/>
        </w:rPr>
        <w:t>b. Ratio between</w:t>
      </w:r>
      <w:bookmarkStart w:id="67" w:name="OLE_LINK174"/>
      <w:bookmarkStart w:id="68" w:name="OLE_LINK172"/>
      <w:bookmarkStart w:id="69" w:name="OLE_LINK173"/>
      <w:r>
        <w:rPr>
          <w:b/>
          <w:kern w:val="0"/>
          <w:sz w:val="20"/>
          <w:lang w:eastAsia="en-US"/>
        </w:rPr>
        <w:t xml:space="preserve"> data from the </w:t>
      </w:r>
      <w:bookmarkStart w:id="70" w:name="OLE_LINK175"/>
      <w:bookmarkStart w:id="71" w:name="OLE_LINK176"/>
      <w:r>
        <w:rPr>
          <w:rFonts w:hint="eastAsia"/>
          <w:b/>
          <w:kern w:val="0"/>
          <w:sz w:val="20"/>
          <w:lang w:eastAsia="en-US"/>
        </w:rPr>
        <w:t>target sample plot</w:t>
      </w:r>
      <w:r>
        <w:rPr>
          <w:b/>
          <w:kern w:val="0"/>
          <w:sz w:val="20"/>
          <w:lang w:eastAsia="en-US"/>
        </w:rPr>
        <w:t xml:space="preserve"> and </w:t>
      </w:r>
      <w:r>
        <w:rPr>
          <w:rFonts w:hint="eastAsia"/>
          <w:b/>
          <w:kern w:val="0"/>
          <w:sz w:val="20"/>
        </w:rPr>
        <w:t>other sample plots</w:t>
      </w:r>
      <w:bookmarkEnd w:id="67"/>
      <w:bookmarkEnd w:id="68"/>
      <w:bookmarkEnd w:id="69"/>
      <w:bookmarkEnd w:id="70"/>
      <w:bookmarkEnd w:id="71"/>
    </w:p>
    <w:p>
      <w:pPr>
        <w:pStyle w:val="7"/>
        <w:spacing w:after="0"/>
        <w:ind w:firstLine="0" w:firstLineChars="0"/>
        <w:rPr>
          <w:sz w:val="20"/>
          <w:szCs w:val="20"/>
        </w:rPr>
      </w:pPr>
      <w:r>
        <w:rPr>
          <w:sz w:val="20"/>
          <w:szCs w:val="20"/>
        </w:rPr>
        <w:t xml:space="preserve">The ratio between data from the </w:t>
      </w:r>
      <w:r>
        <w:rPr>
          <w:rFonts w:hint="eastAsia"/>
          <w:sz w:val="20"/>
          <w:szCs w:val="20"/>
        </w:rPr>
        <w:t>target sample plot</w:t>
      </w:r>
      <w:r>
        <w:rPr>
          <w:sz w:val="20"/>
          <w:szCs w:val="20"/>
        </w:rPr>
        <w:t xml:space="preserve"> and </w:t>
      </w:r>
      <w:r>
        <w:rPr>
          <w:rFonts w:hint="eastAsia"/>
          <w:sz w:val="20"/>
          <w:szCs w:val="20"/>
        </w:rPr>
        <w:t>other sample plots</w:t>
      </w:r>
      <w:r>
        <w:rPr>
          <w:sz w:val="20"/>
          <w:szCs w:val="20"/>
        </w:rPr>
        <w:t xml:space="preserve"> is one of the most important inputs for estimating </w:t>
      </w:r>
      <w:r>
        <w:rPr>
          <w:rFonts w:hint="eastAsia"/>
          <w:sz w:val="20"/>
          <w:szCs w:val="20"/>
        </w:rPr>
        <w:t>target sample plot</w:t>
      </w:r>
      <w:r>
        <w:rPr>
          <w:sz w:val="20"/>
          <w:szCs w:val="20"/>
        </w:rPr>
        <w:t xml:space="preserve"> AGB and is an index of heterogeneity in the AGB spatial distribution. The relationship between data from the </w:t>
      </w:r>
      <w:r>
        <w:rPr>
          <w:rFonts w:hint="eastAsia"/>
          <w:sz w:val="20"/>
          <w:szCs w:val="20"/>
        </w:rPr>
        <w:t>target sample plot</w:t>
      </w:r>
      <w:r>
        <w:rPr>
          <w:sz w:val="20"/>
          <w:szCs w:val="20"/>
        </w:rPr>
        <w:t xml:space="preserve"> and the </w:t>
      </w:r>
      <w:r>
        <w:rPr>
          <w:rFonts w:hint="eastAsia"/>
          <w:sz w:val="20"/>
          <w:szCs w:val="20"/>
        </w:rPr>
        <w:t>other sample plots</w:t>
      </w:r>
      <w:r>
        <w:rPr>
          <w:sz w:val="20"/>
          <w:szCs w:val="20"/>
        </w:rPr>
        <w:t xml:space="preserve"> is expressed as:</w:t>
      </w:r>
    </w:p>
    <w:p>
      <w:pPr>
        <w:pStyle w:val="7"/>
        <w:spacing w:after="0"/>
        <w:ind w:firstLine="0" w:firstLineChars="0"/>
        <w:jc w:val="right"/>
        <w:rPr>
          <w:sz w:val="20"/>
          <w:szCs w:val="20"/>
        </w:rPr>
      </w:pPr>
      <m:oMath>
        <m:sSub>
          <m:sSubPr>
            <m:ctrlPr>
              <w:rPr>
                <w:rFonts w:ascii="Cambria Math" w:hAnsi="Cambria Math"/>
                <w:sz w:val="20"/>
                <w:szCs w:val="20"/>
              </w:rPr>
            </m:ctrlPr>
          </m:sSubPr>
          <m:e>
            <m:r>
              <w:rPr>
                <w:rFonts w:ascii="Cambria Math" w:hAnsi="Cambria Math"/>
                <w:sz w:val="20"/>
                <w:szCs w:val="20"/>
              </w:rPr>
              <m:t>b</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r>
          <w:rPr>
            <w:rFonts w:ascii="Cambria Math" w:hAnsi="Cambria Math"/>
            <w:sz w:val="20"/>
            <w:szCs w:val="20"/>
          </w:rPr>
          <m:t>E</m:t>
        </m:r>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j</m:t>
            </m:r>
            <m:ctrlPr>
              <w:rPr>
                <w:rFonts w:ascii="Cambria Math" w:hAnsi="Cambria Math"/>
                <w:sz w:val="20"/>
                <w:szCs w:val="20"/>
              </w:rPr>
            </m:ctrlPr>
          </m:sub>
        </m:sSub>
        <m:r>
          <w:rPr>
            <w:rFonts w:ascii="Cambria Math" w:hAnsi="Cambria Math"/>
            <w:sz w:val="20"/>
            <w:szCs w:val="20"/>
          </w:rPr>
          <m:t>=E</m:t>
        </m:r>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i</m:t>
            </m:r>
            <m:ctrlPr>
              <w:rPr>
                <w:rFonts w:ascii="Cambria Math" w:hAnsi="Cambria Math"/>
                <w:sz w:val="20"/>
                <w:szCs w:val="20"/>
              </w:rPr>
            </m:ctrlPr>
          </m:sub>
        </m:sSub>
      </m:oMath>
      <w:r>
        <w:rPr>
          <w:sz w:val="20"/>
          <w:szCs w:val="20"/>
        </w:rPr>
        <w:t xml:space="preserve">                          </w:t>
      </w:r>
      <w:bookmarkStart w:id="72" w:name="OLE_LINK192"/>
      <w:r>
        <w:rPr>
          <w:sz w:val="20"/>
          <w:szCs w:val="20"/>
        </w:rPr>
        <w:t>(</w:t>
      </w:r>
      <w:r>
        <w:rPr>
          <w:rFonts w:hint="eastAsia"/>
          <w:sz w:val="20"/>
          <w:szCs w:val="20"/>
        </w:rPr>
        <w:t>A.4</w:t>
      </w:r>
      <w:r>
        <w:rPr>
          <w:sz w:val="20"/>
          <w:szCs w:val="20"/>
        </w:rPr>
        <w:t>)</w:t>
      </w:r>
    </w:p>
    <w:bookmarkEnd w:id="72"/>
    <w:p>
      <w:pPr>
        <w:pStyle w:val="38"/>
        <w:spacing w:before="0" w:after="0" w:line="360" w:lineRule="auto"/>
        <w:jc w:val="both"/>
        <w:rPr>
          <w:rFonts w:ascii="Times New Roman" w:hAnsi="Times New Roman"/>
          <w:sz w:val="20"/>
          <w:szCs w:val="20"/>
        </w:rPr>
      </w:pPr>
      <w:r>
        <w:rPr>
          <w:rFonts w:hint="eastAsia" w:ascii="Times New Roman" w:hAnsi="Times New Roman"/>
          <w:sz w:val="20"/>
          <w:szCs w:val="20"/>
        </w:rPr>
        <w:t>In most cases, the AGB</w:t>
      </w:r>
      <w:r>
        <w:rPr>
          <w:rFonts w:ascii="Times New Roman" w:hAnsi="Times New Roman"/>
          <w:sz w:val="20"/>
          <w:szCs w:val="20"/>
        </w:rPr>
        <w:t>s</w:t>
      </w:r>
      <w:r>
        <w:rPr>
          <w:rFonts w:hint="eastAsia" w:ascii="Times New Roman" w:hAnsi="Times New Roman"/>
          <w:sz w:val="20"/>
          <w:szCs w:val="20"/>
        </w:rPr>
        <w:t xml:space="preserve"> of </w:t>
      </w:r>
      <w:r>
        <w:rPr>
          <w:rFonts w:ascii="Times New Roman" w:hAnsi="Times New Roman"/>
          <w:sz w:val="20"/>
          <w:szCs w:val="20"/>
        </w:rPr>
        <w:t xml:space="preserve">any </w:t>
      </w:r>
      <w:r>
        <w:rPr>
          <w:rFonts w:hint="eastAsia" w:ascii="Times New Roman" w:hAnsi="Times New Roman"/>
          <w:sz w:val="20"/>
          <w:szCs w:val="20"/>
        </w:rPr>
        <w:t xml:space="preserve">two plots are not equal, and the relationship </w:t>
      </w:r>
      <w:r>
        <w:rPr>
          <w:rFonts w:ascii="Times New Roman" w:hAnsi="Times New Roman"/>
          <w:sz w:val="20"/>
          <w:szCs w:val="20"/>
        </w:rPr>
        <w:t xml:space="preserve">between them </w:t>
      </w:r>
      <w:r>
        <w:rPr>
          <w:rFonts w:hint="eastAsia" w:ascii="Times New Roman" w:hAnsi="Times New Roman"/>
          <w:sz w:val="20"/>
          <w:szCs w:val="20"/>
        </w:rPr>
        <w:t xml:space="preserve">can be further expressed as the relative bias </w:t>
      </w:r>
      <m:oMath>
        <m:sSub>
          <m:sSubPr>
            <m:ctrlPr>
              <w:rPr>
                <w:rFonts w:ascii="Cambria Math" w:hAnsi="Cambria Math"/>
                <w:kern w:val="2"/>
                <w:sz w:val="20"/>
                <w:szCs w:val="20"/>
              </w:rPr>
            </m:ctrlPr>
          </m:sSubPr>
          <m:e>
            <m:r>
              <w:rPr>
                <w:rFonts w:ascii="Cambria Math" w:hAnsi="Cambria Math"/>
                <w:sz w:val="20"/>
                <w:szCs w:val="20"/>
              </w:rPr>
              <m:t>b</m:t>
            </m:r>
            <m:ctrlPr>
              <w:rPr>
                <w:rFonts w:ascii="Cambria Math" w:hAnsi="Cambria Math"/>
                <w:kern w:val="2"/>
                <w:sz w:val="20"/>
                <w:szCs w:val="20"/>
              </w:rPr>
            </m:ctrlPr>
          </m:e>
          <m:sub>
            <m:r>
              <w:rPr>
                <w:rFonts w:ascii="Cambria Math" w:hAnsi="Cambria Math"/>
                <w:sz w:val="20"/>
                <w:szCs w:val="20"/>
              </w:rPr>
              <m:t>ij</m:t>
            </m:r>
            <m:ctrlPr>
              <w:rPr>
                <w:rFonts w:ascii="Cambria Math" w:hAnsi="Cambria Math"/>
                <w:kern w:val="2"/>
                <w:sz w:val="20"/>
                <w:szCs w:val="20"/>
              </w:rPr>
            </m:ctrlPr>
          </m:sub>
        </m:sSub>
        <m:r>
          <w:rPr>
            <w:rFonts w:ascii="Cambria Math" w:hAnsi="Cambria Math"/>
            <w:kern w:val="2"/>
            <w:sz w:val="20"/>
            <w:szCs w:val="20"/>
          </w:rPr>
          <m:t xml:space="preserve"> </m:t>
        </m:r>
      </m:oMath>
      <w:r>
        <w:rPr>
          <w:rFonts w:hint="eastAsia" w:ascii="Times New Roman" w:hAnsi="Times New Roman"/>
          <w:sz w:val="20"/>
          <w:szCs w:val="20"/>
        </w:rPr>
        <w:t xml:space="preserve">between the mathematical expectation of </w:t>
      </w:r>
      <m:oMath>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j</m:t>
            </m:r>
            <m:ctrlPr>
              <w:rPr>
                <w:rFonts w:ascii="Cambria Math" w:hAnsi="Cambria Math"/>
                <w:sz w:val="20"/>
                <w:szCs w:val="20"/>
              </w:rPr>
            </m:ctrlPr>
          </m:sub>
        </m:sSub>
      </m:oMath>
      <w:r>
        <w:rPr>
          <w:rFonts w:hint="eastAsia"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y</m:t>
            </m:r>
            <m:ctrlPr>
              <w:rPr>
                <w:rFonts w:ascii="Cambria Math" w:hAnsi="Cambria Math"/>
                <w:sz w:val="20"/>
                <w:szCs w:val="20"/>
              </w:rPr>
            </m:ctrlPr>
          </m:e>
          <m:sub>
            <m:r>
              <w:rPr>
                <w:rFonts w:ascii="Cambria Math" w:hAnsi="Cambria Math"/>
                <w:sz w:val="20"/>
                <w:szCs w:val="20"/>
              </w:rPr>
              <m:t>i</m:t>
            </m:r>
            <m:ctrlPr>
              <w:rPr>
                <w:rFonts w:ascii="Cambria Math" w:hAnsi="Cambria Math"/>
                <w:sz w:val="20"/>
                <w:szCs w:val="20"/>
              </w:rPr>
            </m:ctrlPr>
          </m:sub>
        </m:sSub>
      </m:oMath>
      <w:r>
        <w:rPr>
          <w:rFonts w:hint="eastAsia" w:ascii="Times New Roman" w:hAnsi="Times New Roman"/>
          <w:sz w:val="20"/>
          <w:szCs w:val="20"/>
        </w:rPr>
        <w:t>.</w:t>
      </w:r>
      <w:r>
        <w:rPr>
          <w:rFonts w:ascii="Times New Roman" w:hAnsi="Times New Roman"/>
          <w:sz w:val="20"/>
          <w:szCs w:val="20"/>
        </w:rPr>
        <w:t xml:space="preserve"> Considering Eq. (</w:t>
      </w:r>
      <w:r>
        <w:rPr>
          <w:rFonts w:hint="eastAsia" w:ascii="Times New Roman" w:hAnsi="Times New Roman"/>
          <w:sz w:val="20"/>
          <w:szCs w:val="20"/>
        </w:rPr>
        <w:t>1</w:t>
      </w:r>
      <w:r>
        <w:rPr>
          <w:rFonts w:ascii="Times New Roman" w:hAnsi="Times New Roman"/>
          <w:sz w:val="20"/>
          <w:szCs w:val="20"/>
        </w:rPr>
        <w:t>), Eq. (</w:t>
      </w:r>
      <w:r>
        <w:rPr>
          <w:rFonts w:hint="eastAsia" w:ascii="Times New Roman" w:hAnsi="Times New Roman"/>
          <w:sz w:val="20"/>
          <w:szCs w:val="20"/>
        </w:rPr>
        <w:t>4</w:t>
      </w:r>
      <w:r>
        <w:rPr>
          <w:rFonts w:ascii="Times New Roman" w:hAnsi="Times New Roman"/>
          <w:sz w:val="20"/>
          <w:szCs w:val="20"/>
        </w:rPr>
        <w:t>) can be written as:</w:t>
      </w:r>
    </w:p>
    <w:p>
      <w:pPr>
        <w:pStyle w:val="7"/>
        <w:spacing w:after="0"/>
        <w:ind w:firstLine="0" w:firstLineChars="0"/>
        <w:jc w:val="right"/>
        <w:rPr>
          <w:sz w:val="20"/>
          <w:szCs w:val="20"/>
        </w:rPr>
      </w:pPr>
      <m:oMath>
        <m:nary>
          <m:naryPr>
            <m:chr m:val="∑"/>
            <m:limLoc m:val="subSup"/>
            <m:ctrlPr>
              <w:rPr>
                <w:rFonts w:ascii="Cambria Math" w:hAnsi="Cambria Math"/>
                <w:sz w:val="20"/>
                <w:szCs w:val="20"/>
              </w:rPr>
            </m:ctrlPr>
          </m:naryPr>
          <m:sub>
            <m:r>
              <w:rPr>
                <w:rFonts w:ascii="Cambria Math" w:hAnsi="Cambria Math"/>
                <w:sz w:val="20"/>
                <w:szCs w:val="20"/>
              </w:rPr>
              <m:t>i=1</m:t>
            </m:r>
            <m:ctrlPr>
              <w:rPr>
                <w:rFonts w:ascii="Cambria Math" w:hAnsi="Cambria Math"/>
                <w:sz w:val="20"/>
                <w:szCs w:val="20"/>
              </w:rPr>
            </m:ctrlPr>
          </m:sub>
          <m:sup>
            <m:r>
              <w:rPr>
                <w:rFonts w:ascii="Cambria Math" w:hAnsi="Cambria Math"/>
                <w:sz w:val="20"/>
                <w:szCs w:val="20"/>
              </w:rPr>
              <m:t>n</m:t>
            </m:r>
            <m:ctrlPr>
              <w:rPr>
                <w:rFonts w:ascii="Cambria Math" w:hAnsi="Cambria Math"/>
                <w:sz w:val="20"/>
                <w:szCs w:val="20"/>
              </w:rPr>
            </m:ctrlPr>
          </m:sup>
          <m:e>
            <m:sSub>
              <m:sSubPr>
                <m:ctrlPr>
                  <w:rPr>
                    <w:rFonts w:ascii="Cambria Math" w:hAnsi="Cambria Math"/>
                    <w:sz w:val="20"/>
                    <w:szCs w:val="20"/>
                  </w:rPr>
                </m:ctrlPr>
              </m:sSubPr>
              <m:e>
                <m:sSub>
                  <m:sSubPr>
                    <m:ctrlPr>
                      <w:rPr>
                        <w:rFonts w:ascii="Cambria Math" w:hAnsi="Cambria Math"/>
                        <w:sz w:val="20"/>
                        <w:szCs w:val="20"/>
                      </w:rPr>
                    </m:ctrlPr>
                  </m:sSubPr>
                  <m:e>
                    <m:r>
                      <w:rPr>
                        <w:rFonts w:ascii="Cambria Math" w:hAnsi="Cambria Math"/>
                        <w:sz w:val="20"/>
                        <w:szCs w:val="20"/>
                      </w:rPr>
                      <m:t>w</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r>
                  <w:rPr>
                    <w:rFonts w:ascii="Cambria Math" w:hAnsi="Cambria Math"/>
                    <w:sz w:val="20"/>
                    <w:szCs w:val="20"/>
                  </w:rPr>
                  <m:t>b</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r>
              <w:rPr>
                <w:rFonts w:ascii="Cambria Math" w:hAnsi="Cambria Math"/>
                <w:sz w:val="20"/>
                <w:szCs w:val="20"/>
              </w:rPr>
              <m:t>=1</m:t>
            </m:r>
            <m:ctrlPr>
              <w:rPr>
                <w:rFonts w:ascii="Cambria Math" w:hAnsi="Cambria Math"/>
                <w:sz w:val="20"/>
                <w:szCs w:val="20"/>
              </w:rPr>
            </m:ctrlPr>
          </m:e>
        </m:nary>
      </m:oMath>
      <w:r>
        <w:rPr>
          <w:sz w:val="20"/>
          <w:szCs w:val="20"/>
        </w:rPr>
        <w:t xml:space="preserve">         </w:t>
      </w:r>
      <w:bookmarkStart w:id="73" w:name="OLE_LINK200"/>
      <w:bookmarkStart w:id="74" w:name="OLE_LINK199"/>
      <w:r>
        <w:rPr>
          <w:sz w:val="20"/>
          <w:szCs w:val="20"/>
        </w:rPr>
        <w:t xml:space="preserve">                (</w:t>
      </w:r>
      <w:r>
        <w:rPr>
          <w:rFonts w:hint="eastAsia"/>
          <w:sz w:val="20"/>
          <w:szCs w:val="20"/>
        </w:rPr>
        <w:t>A.5</w:t>
      </w:r>
      <w:r>
        <w:rPr>
          <w:sz w:val="20"/>
          <w:szCs w:val="20"/>
        </w:rPr>
        <w:t>)</w:t>
      </w:r>
      <w:bookmarkEnd w:id="73"/>
      <w:bookmarkEnd w:id="74"/>
    </w:p>
    <w:p>
      <w:pPr>
        <w:pStyle w:val="7"/>
        <w:spacing w:after="0"/>
        <w:ind w:firstLine="0" w:firstLineChars="0"/>
        <w:rPr>
          <w:sz w:val="20"/>
          <w:szCs w:val="20"/>
        </w:rPr>
      </w:pPr>
      <w:r>
        <w:rPr>
          <w:sz w:val="20"/>
          <w:szCs w:val="20"/>
        </w:rPr>
        <w:t xml:space="preserve">This equation is generally valid for nonhomogeneous conditions. Clearly, the determination of </w:t>
      </w:r>
      <m:oMath>
        <m:sSub>
          <m:sSubPr>
            <m:ctrlPr>
              <w:rPr>
                <w:rFonts w:ascii="Cambria Math" w:hAnsi="Cambria Math"/>
                <w:sz w:val="20"/>
                <w:szCs w:val="20"/>
              </w:rPr>
            </m:ctrlPr>
          </m:sSubPr>
          <m:e>
            <m:r>
              <w:rPr>
                <w:rFonts w:ascii="Cambria Math" w:hAnsi="Cambria Math"/>
                <w:sz w:val="20"/>
                <w:szCs w:val="20"/>
              </w:rPr>
              <m:t>b</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oMath>
      <w:r>
        <w:rPr>
          <w:sz w:val="20"/>
          <w:szCs w:val="20"/>
        </w:rPr>
        <w:t xml:space="preserve"> requires the coefficients </w:t>
      </w:r>
      <m:oMath>
        <m:sSub>
          <m:sSubPr>
            <m:ctrlPr>
              <w:rPr>
                <w:rFonts w:ascii="Cambria Math" w:hAnsi="Cambria Math"/>
                <w:sz w:val="20"/>
                <w:szCs w:val="20"/>
              </w:rPr>
            </m:ctrlPr>
          </m:sSubPr>
          <m:e>
            <m:r>
              <w:rPr>
                <w:rFonts w:ascii="Cambria Math" w:hAnsi="Cambria Math"/>
                <w:sz w:val="20"/>
                <w:szCs w:val="20"/>
              </w:rPr>
              <m:t>w</m:t>
            </m:r>
            <m:ctrlPr>
              <w:rPr>
                <w:rFonts w:ascii="Cambria Math" w:hAnsi="Cambria Math"/>
                <w:sz w:val="20"/>
                <w:szCs w:val="20"/>
              </w:rPr>
            </m:ctrlPr>
          </m:e>
          <m:sub>
            <m:r>
              <w:rPr>
                <w:rFonts w:ascii="Cambria Math" w:hAnsi="Cambria Math"/>
                <w:sz w:val="20"/>
                <w:szCs w:val="20"/>
              </w:rPr>
              <m:t>ij</m:t>
            </m:r>
            <m:ctrlPr>
              <w:rPr>
                <w:rFonts w:ascii="Cambria Math" w:hAnsi="Cambria Math"/>
                <w:sz w:val="20"/>
                <w:szCs w:val="20"/>
              </w:rPr>
            </m:ctrlPr>
          </m:sub>
        </m:sSub>
      </m:oMath>
      <w:r>
        <w:rPr>
          <w:sz w:val="20"/>
          <w:szCs w:val="20"/>
        </w:rPr>
        <w:t xml:space="preserve"> </w:t>
      </w:r>
      <m:oMath>
        <m:d>
          <m:dPr>
            <m:ctrlPr>
              <w:rPr>
                <w:rFonts w:ascii="Cambria Math" w:hAnsi="Cambria Math"/>
                <w:sz w:val="20"/>
                <w:szCs w:val="20"/>
              </w:rPr>
            </m:ctrlPr>
          </m:dPr>
          <m:e>
            <m:r>
              <w:rPr>
                <w:rFonts w:ascii="Cambria Math" w:hAnsi="Cambria Math"/>
                <w:sz w:val="20"/>
                <w:szCs w:val="20"/>
              </w:rPr>
              <m:t>i=1,…,n, j=1,…,n</m:t>
            </m:r>
            <m:ctrlPr>
              <w:rPr>
                <w:rFonts w:ascii="Cambria Math" w:hAnsi="Cambria Math"/>
                <w:sz w:val="20"/>
                <w:szCs w:val="20"/>
              </w:rPr>
            </m:ctrlPr>
          </m:e>
        </m:d>
      </m:oMath>
      <w:r>
        <w:rPr>
          <w:sz w:val="20"/>
          <w:szCs w:val="20"/>
        </w:rPr>
        <w:t xml:space="preserve"> to be calculated, which is addressed in the following section.</w:t>
      </w:r>
    </w:p>
    <w:p>
      <w:pPr>
        <w:pStyle w:val="7"/>
        <w:spacing w:after="0"/>
        <w:ind w:firstLine="0" w:firstLineChars="0"/>
        <w:rPr>
          <w:sz w:val="20"/>
          <w:szCs w:val="20"/>
        </w:rPr>
      </w:pPr>
    </w:p>
    <w:p>
      <w:pPr>
        <w:pStyle w:val="38"/>
        <w:spacing w:before="0" w:after="0" w:line="360" w:lineRule="auto"/>
        <w:rPr>
          <w:rFonts w:ascii="Times New Roman" w:hAnsi="Times New Roman"/>
          <w:b/>
          <w:sz w:val="20"/>
          <w:szCs w:val="20"/>
        </w:rPr>
      </w:pPr>
      <w:r>
        <w:rPr>
          <w:rFonts w:ascii="Times New Roman" w:hAnsi="Times New Roman"/>
          <w:b/>
          <w:sz w:val="20"/>
          <w:szCs w:val="20"/>
        </w:rPr>
        <w:t>c. Weight estimation</w:t>
      </w:r>
    </w:p>
    <w:p>
      <w:pPr>
        <w:pStyle w:val="7"/>
        <w:spacing w:after="0"/>
        <w:ind w:firstLine="0" w:firstLineChars="0"/>
        <w:rPr>
          <w:sz w:val="20"/>
          <w:szCs w:val="20"/>
        </w:rPr>
      </w:pPr>
      <w:r>
        <w:rPr>
          <w:sz w:val="20"/>
          <w:szCs w:val="20"/>
        </w:rPr>
        <w:t xml:space="preserve">A main challenge in estimation is finding the weights, </w:t>
      </w:r>
      <m:oMath>
        <m:sSub>
          <m:sSubPr>
            <m:ctrlPr>
              <w:rPr>
                <w:rFonts w:ascii="Cambria Math" w:hAnsi="Cambria Math"/>
                <w:i/>
                <w:iCs/>
                <w:sz w:val="20"/>
                <w:szCs w:val="20"/>
              </w:rPr>
            </m:ctrlPr>
          </m:sSubPr>
          <m:e>
            <m:r>
              <w:rPr>
                <w:rFonts w:ascii="Cambria Math" w:hAnsi="Cambria Math"/>
                <w:sz w:val="20"/>
                <w:szCs w:val="20"/>
              </w:rPr>
              <m:t>w</m:t>
            </m:r>
            <m:ctrlPr>
              <w:rPr>
                <w:rFonts w:ascii="Cambria Math" w:hAnsi="Cambria Math"/>
                <w:i/>
                <w:iCs/>
                <w:sz w:val="20"/>
                <w:szCs w:val="20"/>
              </w:rPr>
            </m:ctrlPr>
          </m:e>
          <m:sub>
            <m:r>
              <w:rPr>
                <w:rFonts w:ascii="Cambria Math" w:hAnsi="Cambria Math"/>
                <w:sz w:val="20"/>
                <w:szCs w:val="20"/>
              </w:rPr>
              <m:t>ij</m:t>
            </m:r>
            <m:ctrlPr>
              <w:rPr>
                <w:rFonts w:ascii="Cambria Math" w:hAnsi="Cambria Math"/>
                <w:i/>
                <w:iCs/>
                <w:sz w:val="20"/>
                <w:szCs w:val="20"/>
              </w:rPr>
            </m:ctrlPr>
          </m:sub>
        </m:sSub>
      </m:oMath>
      <w:r>
        <w:rPr>
          <w:sz w:val="20"/>
          <w:szCs w:val="20"/>
        </w:rPr>
        <w:t>, that satisfy the unbiased condition and that minimize estimation variance:</w:t>
      </w:r>
    </w:p>
    <w:p>
      <w:pPr>
        <w:pStyle w:val="7"/>
        <w:wordWrap w:val="0"/>
        <w:spacing w:after="0"/>
        <w:ind w:firstLine="400"/>
        <w:jc w:val="right"/>
        <w:rPr>
          <w:sz w:val="20"/>
          <w:szCs w:val="20"/>
        </w:rPr>
      </w:pPr>
      <m:oMath>
        <m:sSubSup>
          <m:sSubSupPr>
            <m:ctrlPr>
              <w:rPr>
                <w:rFonts w:ascii="Cambria Math" w:hAnsi="Cambria Math"/>
                <w:i/>
                <w:sz w:val="20"/>
                <w:szCs w:val="20"/>
              </w:rPr>
            </m:ctrlPr>
          </m:sSubSupPr>
          <m:e>
            <m:r>
              <w:rPr>
                <w:rFonts w:ascii="Cambria Math" w:hAnsi="Cambria Math"/>
                <w:sz w:val="20"/>
                <w:szCs w:val="20"/>
              </w:rPr>
              <m:t>σ</m:t>
            </m:r>
            <m:ctrlPr>
              <w:rPr>
                <w:rFonts w:ascii="Cambria Math" w:hAnsi="Cambria Math"/>
                <w:i/>
                <w:sz w:val="20"/>
                <w:szCs w:val="20"/>
              </w:rPr>
            </m:ctrlPr>
          </m:e>
          <m:sub>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ctrlPr>
              <w:rPr>
                <w:rFonts w:ascii="Cambria Math" w:hAnsi="Cambria Math"/>
                <w:i/>
                <w:sz w:val="20"/>
                <w:szCs w:val="20"/>
              </w:rPr>
            </m:ctrlPr>
          </m:sub>
          <m:sup>
            <m:r>
              <w:rPr>
                <w:rFonts w:ascii="Cambria Math" w:hAnsi="Cambria Math"/>
                <w:sz w:val="20"/>
                <w:szCs w:val="20"/>
              </w:rPr>
              <m:t>2</m:t>
            </m:r>
            <m:ctrlPr>
              <w:rPr>
                <w:rFonts w:ascii="Cambria Math" w:hAnsi="Cambria Math"/>
                <w:i/>
                <w:sz w:val="20"/>
                <w:szCs w:val="20"/>
              </w:rPr>
            </m:ctrlPr>
          </m:sup>
        </m:sSubSup>
        <m:r>
          <w:rPr>
            <w:rFonts w:ascii="Cambria Math" w:hAnsi="Cambria Math"/>
            <w:sz w:val="20"/>
            <w:szCs w:val="20"/>
          </w:rPr>
          <m:t>=E</m:t>
        </m:r>
        <m:sSup>
          <m:sSupPr>
            <m:ctrlPr>
              <w:rPr>
                <w:rFonts w:ascii="Cambria Math" w:hAnsi="Cambria Math"/>
                <w:i/>
                <w:sz w:val="20"/>
                <w:szCs w:val="20"/>
              </w:rPr>
            </m:ctrlPr>
          </m:sSupPr>
          <m:e>
            <m:d>
              <m:dPr>
                <m:ctrlPr>
                  <w:rPr>
                    <w:rFonts w:ascii="Cambria Math" w:hAnsi="Cambria Math"/>
                    <w:i/>
                    <w:sz w:val="20"/>
                    <w:szCs w:val="20"/>
                  </w:rPr>
                </m:ctrlPr>
              </m:dPr>
              <m:e>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i/>
                <w:sz w:val="20"/>
                <w:szCs w:val="20"/>
              </w:rPr>
            </m:ctrlPr>
          </m:e>
          <m:sup>
            <m:r>
              <w:rPr>
                <w:rFonts w:ascii="Cambria Math" w:hAnsi="Cambria Math"/>
                <w:sz w:val="20"/>
                <w:szCs w:val="20"/>
              </w:rPr>
              <m:t>2</m:t>
            </m:r>
            <m:ctrlPr>
              <w:rPr>
                <w:rFonts w:ascii="Cambria Math" w:hAnsi="Cambria Math"/>
                <w:i/>
                <w:sz w:val="20"/>
                <w:szCs w:val="20"/>
              </w:rPr>
            </m:ctrlPr>
          </m:sup>
        </m:sSup>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ctrlPr>
              <w:rPr>
                <w:rFonts w:ascii="Cambria Math" w:hAnsi="Cambria Math"/>
                <w:i/>
                <w:sz w:val="20"/>
                <w:szCs w:val="20"/>
              </w:rPr>
            </m:ctrlPr>
          </m:e>
        </m:d>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ctrlPr>
              <w:rPr>
                <w:rFonts w:ascii="Cambria Math" w:hAnsi="Cambria Math"/>
                <w:i/>
                <w:sz w:val="20"/>
                <w:szCs w:val="20"/>
              </w:rPr>
            </m:ctrlPr>
          </m:e>
        </m:d>
        <m:r>
          <w:rPr>
            <w:rFonts w:ascii="Cambria Math" w:hAnsi="Cambria Math"/>
            <w:sz w:val="20"/>
            <w:szCs w:val="20"/>
          </w:rPr>
          <m:t>-2C</m:t>
        </m:r>
        <m:d>
          <m:dPr>
            <m:ctrlPr>
              <w:rPr>
                <w:rFonts w:ascii="Cambria Math" w:hAnsi="Cambria Math"/>
                <w:i/>
                <w:sz w:val="20"/>
                <w:szCs w:val="20"/>
              </w:rPr>
            </m:ctrlPr>
          </m:dPr>
          <m:e>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ctrlPr>
                      <w:rPr>
                        <w:rFonts w:ascii="Cambria Math" w:hAnsi="Cambria Math"/>
                        <w:i/>
                        <w:sz w:val="20"/>
                        <w:szCs w:val="20"/>
                      </w:rPr>
                    </m:ctrlPr>
                  </m:e>
                </m:acc>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ctrlPr>
              <w:rPr>
                <w:rFonts w:ascii="Cambria Math" w:hAnsi="Cambria Math"/>
                <w:i/>
                <w:sz w:val="20"/>
                <w:szCs w:val="20"/>
              </w:rPr>
            </m:ctrlPr>
          </m:e>
        </m:d>
      </m:oMath>
      <w:r>
        <w:rPr>
          <w:sz w:val="20"/>
          <w:szCs w:val="20"/>
        </w:rPr>
        <w:t xml:space="preserve">           (</w:t>
      </w:r>
      <w:r>
        <w:rPr>
          <w:rFonts w:hint="eastAsia"/>
          <w:sz w:val="20"/>
          <w:szCs w:val="20"/>
        </w:rPr>
        <w:t>A.6</w:t>
      </w:r>
      <w:r>
        <w:rPr>
          <w:sz w:val="20"/>
          <w:szCs w:val="20"/>
        </w:rPr>
        <w:t>)</w:t>
      </w:r>
    </w:p>
    <w:p>
      <w:pPr>
        <w:pStyle w:val="7"/>
        <w:spacing w:after="0"/>
        <w:ind w:firstLine="0" w:firstLineChars="0"/>
        <w:rPr>
          <w:sz w:val="20"/>
          <w:szCs w:val="20"/>
        </w:rPr>
      </w:pPr>
    </w:p>
    <w:p>
      <w:pPr>
        <w:pStyle w:val="7"/>
        <w:spacing w:after="0"/>
        <w:ind w:firstLine="0" w:firstLineChars="0"/>
        <w:rPr>
          <w:sz w:val="20"/>
          <w:szCs w:val="20"/>
        </w:rPr>
      </w:pPr>
      <w:r>
        <w:rPr>
          <w:sz w:val="20"/>
          <w:szCs w:val="20"/>
        </w:rPr>
        <w:t>These weights can be calculated by minimizing the estimation variance and taking unbiasedness into account:</w:t>
      </w:r>
    </w:p>
    <w:p>
      <w:pPr>
        <w:ind w:firstLine="0" w:firstLineChars="0"/>
        <w:jc w:val="right"/>
        <w:rPr>
          <w:sz w:val="20"/>
          <w:szCs w:val="20"/>
        </w:rPr>
      </w:pPr>
      <w:r>
        <w:rPr>
          <w:rFonts w:ascii="Cambria Math" w:hAnsi="Cambria Math"/>
          <w:position w:val="-10"/>
          <w:sz w:val="20"/>
          <w:szCs w:val="20"/>
        </w:rPr>
        <w:object>
          <v:shape id="_x0000_i1025" o:spt="75" type="#_x0000_t75" style="height:15.75pt;width:72pt;" o:ole="t" filled="f" o:preferrelative="t" stroked="f" coordsize="21600,21600">
            <v:path/>
            <v:fill on="f" focussize="0,0"/>
            <v:stroke on="f" joinstyle="miter"/>
            <v:imagedata r:id="rId11" o:title=""/>
            <o:lock v:ext="edit" aspectratio="t"/>
            <w10:wrap type="none"/>
            <w10:anchorlock/>
          </v:shape>
          <o:OLEObject Type="Embed" ProgID="Equation.3" ShapeID="_x0000_i1025" DrawAspect="Content" ObjectID="_1468075725" r:id="rId10">
            <o:LockedField>false</o:LockedField>
          </o:OLEObject>
        </w:object>
      </w:r>
      <m:oMath>
        <m:d>
          <m:dPr>
            <m:begChr m:val="["/>
            <m:endChr m:val="]"/>
            <m:ctrlPr>
              <w:rPr>
                <w:rFonts w:ascii="Cambria Math" w:hAnsi="Cambria Math"/>
                <w:sz w:val="20"/>
                <w:szCs w:val="20"/>
              </w:rPr>
            </m:ctrlPr>
          </m:dPr>
          <m:e>
            <m:m>
              <m:mPr>
                <m:mcs>
                  <m:mc>
                    <m:mcPr>
                      <m:count m:val="4"/>
                      <m:mcJc m:val="center"/>
                    </m:mcPr>
                  </m:mc>
                </m:mcs>
                <m:ctrlPr>
                  <w:rPr>
                    <w:rFonts w:ascii="Cambria Math" w:hAnsi="Cambria Math"/>
                    <w:sz w:val="20"/>
                    <w:szCs w:val="20"/>
                  </w:rPr>
                </m:ctrlPr>
              </m:mPr>
              <m:mr>
                <m:e>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1</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1</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i/>
                      <w:sz w:val="20"/>
                      <w:szCs w:val="20"/>
                    </w:rPr>
                  </m:ctrlPr>
                </m:e>
                <m:e>
                  <m:r>
                    <m:rPr>
                      <m:sty m:val="p"/>
                    </m:rPr>
                    <w:rPr>
                      <w:rFonts w:ascii="Cambria Math" w:hAnsi="Cambria Math"/>
                      <w:sz w:val="20"/>
                      <w:szCs w:val="20"/>
                    </w:rPr>
                    <m:t>⋯</m:t>
                  </m:r>
                  <m:ctrlPr>
                    <w:rPr>
                      <w:rFonts w:ascii="Cambria Math" w:hAnsi="Cambria Math"/>
                      <w:i/>
                      <w:sz w:val="20"/>
                      <w:szCs w:val="20"/>
                    </w:rPr>
                  </m:ctrlPr>
                </m:e>
                <m:e>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1</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n</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i/>
                      <w:sz w:val="20"/>
                      <w:szCs w:val="20"/>
                    </w:rPr>
                  </m:ctrlPr>
                </m:e>
                <m:e>
                  <m:sSub>
                    <m:sSubPr>
                      <m:ctrlPr>
                        <w:rPr>
                          <w:rFonts w:ascii="Cambria Math" w:hAnsi="Cambria Math"/>
                          <w:i/>
                          <w:sz w:val="20"/>
                          <w:szCs w:val="20"/>
                        </w:rPr>
                      </m:ctrlPr>
                    </m:sSubPr>
                    <m:e>
                      <m:r>
                        <w:rPr>
                          <w:rFonts w:ascii="Cambria Math" w:hAnsi="Cambria Math"/>
                          <w:sz w:val="20"/>
                          <w:szCs w:val="20"/>
                        </w:rPr>
                        <m:t>b</m:t>
                      </m:r>
                      <m:ctrlPr>
                        <w:rPr>
                          <w:rFonts w:ascii="Cambria Math" w:hAnsi="Cambria Math"/>
                          <w:i/>
                          <w:sz w:val="20"/>
                          <w:szCs w:val="20"/>
                        </w:rPr>
                      </m:ctrlPr>
                    </m:e>
                    <m:sub>
                      <m:r>
                        <w:rPr>
                          <w:rFonts w:ascii="Cambria Math" w:hAnsi="Cambria Math"/>
                          <w:sz w:val="20"/>
                          <w:szCs w:val="20"/>
                        </w:rPr>
                        <m:t>1j</m:t>
                      </m:r>
                      <m:ctrlPr>
                        <w:rPr>
                          <w:rFonts w:ascii="Cambria Math" w:hAnsi="Cambria Math"/>
                          <w:i/>
                          <w:sz w:val="20"/>
                          <w:szCs w:val="20"/>
                        </w:rPr>
                      </m:ctrlPr>
                    </m:sub>
                  </m:sSub>
                  <m:ctrlPr>
                    <w:rPr>
                      <w:rFonts w:ascii="Cambria Math" w:hAnsi="Cambria Math" w:eastAsia="Cambria Math" w:cs="Cambria Math"/>
                      <w:sz w:val="20"/>
                      <w:szCs w:val="20"/>
                    </w:rPr>
                  </m:ctrlPr>
                </m:e>
              </m:mr>
              <m:mr>
                <m:e>
                  <m:r>
                    <m:rPr>
                      <m:sty m:val="p"/>
                    </m:rPr>
                    <w:rPr>
                      <w:rFonts w:ascii="Cambria Math" w:hAnsi="Cambria Math"/>
                      <w:sz w:val="20"/>
                      <w:szCs w:val="20"/>
                    </w:rPr>
                    <m:t>⋮</m:t>
                  </m:r>
                  <m:ctrlPr>
                    <w:rPr>
                      <w:rFonts w:ascii="Cambria Math" w:hAnsi="Cambria Math"/>
                      <w:i/>
                      <w:sz w:val="20"/>
                      <w:szCs w:val="20"/>
                    </w:rPr>
                  </m:ctrlPr>
                </m:e>
                <m:e>
                  <m:r>
                    <m:rPr>
                      <m:sty m:val="p"/>
                    </m:rPr>
                    <w:rPr>
                      <w:rFonts w:ascii="Cambria Math" w:hAnsi="Cambria Math"/>
                      <w:sz w:val="20"/>
                      <w:szCs w:val="20"/>
                    </w:rPr>
                    <m:t>⋱</m:t>
                  </m:r>
                  <m:ctrlPr>
                    <w:rPr>
                      <w:rFonts w:ascii="Cambria Math" w:hAnsi="Cambria Math"/>
                      <w:i/>
                      <w:sz w:val="20"/>
                      <w:szCs w:val="20"/>
                    </w:rPr>
                  </m:ctrlPr>
                </m:e>
                <m:e>
                  <m:r>
                    <m:rPr>
                      <m:sty m:val="p"/>
                    </m:rPr>
                    <w:rPr>
                      <w:rFonts w:ascii="Cambria Math" w:hAnsi="Cambria Math"/>
                      <w:sz w:val="20"/>
                      <w:szCs w:val="20"/>
                    </w:rPr>
                    <m:t>⋮</m:t>
                  </m:r>
                  <m:ctrlPr>
                    <w:rPr>
                      <w:rFonts w:ascii="Cambria Math" w:hAnsi="Cambria Math"/>
                      <w:i/>
                      <w:sz w:val="20"/>
                      <w:szCs w:val="20"/>
                    </w:rPr>
                  </m:ctrlPr>
                </m:e>
                <m:e>
                  <m:r>
                    <w:rPr>
                      <w:rFonts w:ascii="Cambria Math" w:hAnsi="Cambria Math"/>
                      <w:sz w:val="20"/>
                      <w:szCs w:val="20"/>
                    </w:rPr>
                    <m:t>⋮</m:t>
                  </m:r>
                  <m:ctrlPr>
                    <w:rPr>
                      <w:rFonts w:ascii="Cambria Math" w:hAnsi="Cambria Math" w:eastAsia="Cambria Math" w:cs="Cambria Math"/>
                      <w:i/>
                      <w:sz w:val="20"/>
                      <w:szCs w:val="20"/>
                    </w:rPr>
                  </m:ctrlPr>
                </m:e>
              </m:mr>
              <m:mr>
                <m:e>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n</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1</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i/>
                      <w:sz w:val="20"/>
                      <w:szCs w:val="20"/>
                    </w:rPr>
                  </m:ctrlPr>
                </m:e>
                <m:e>
                  <m:r>
                    <m:rPr>
                      <m:sty m:val="p"/>
                    </m:rPr>
                    <w:rPr>
                      <w:rFonts w:ascii="Cambria Math" w:hAnsi="Cambria Math"/>
                      <w:sz w:val="20"/>
                      <w:szCs w:val="20"/>
                    </w:rPr>
                    <m:t>⋯</m:t>
                  </m:r>
                  <m:ctrlPr>
                    <w:rPr>
                      <w:rFonts w:ascii="Cambria Math" w:hAnsi="Cambria Math"/>
                      <w:i/>
                      <w:sz w:val="20"/>
                      <w:szCs w:val="20"/>
                    </w:rPr>
                  </m:ctrlPr>
                </m:e>
                <m:e>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n</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n</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eastAsia="Cambria Math" w:cs="Cambria Math"/>
                      <w:i/>
                      <w:sz w:val="20"/>
                      <w:szCs w:val="20"/>
                    </w:rPr>
                  </m:ctrlPr>
                </m:e>
                <m:e>
                  <m:sSub>
                    <m:sSubPr>
                      <m:ctrlPr>
                        <w:rPr>
                          <w:rFonts w:ascii="Cambria Math" w:hAnsi="Cambria Math" w:eastAsia="Cambria Math" w:cs="Cambria Math"/>
                          <w:i/>
                          <w:sz w:val="20"/>
                          <w:szCs w:val="20"/>
                        </w:rPr>
                      </m:ctrlPr>
                    </m:sSubPr>
                    <m:e>
                      <m:r>
                        <w:rPr>
                          <w:rFonts w:ascii="Cambria Math" w:hAnsi="Cambria Math" w:eastAsia="Cambria Math" w:cs="Cambria Math"/>
                          <w:sz w:val="20"/>
                          <w:szCs w:val="20"/>
                        </w:rPr>
                        <m:t>b</m:t>
                      </m:r>
                      <m:ctrlPr>
                        <w:rPr>
                          <w:rFonts w:ascii="Cambria Math" w:hAnsi="Cambria Math"/>
                          <w:i/>
                          <w:sz w:val="20"/>
                          <w:szCs w:val="20"/>
                        </w:rPr>
                      </m:ctrlPr>
                    </m:e>
                    <m:sub>
                      <m:r>
                        <w:rPr>
                          <w:rFonts w:ascii="Cambria Math" w:hAnsi="Cambria Math" w:eastAsia="Cambria Math" w:cs="Cambria Math"/>
                          <w:sz w:val="20"/>
                          <w:szCs w:val="20"/>
                        </w:rPr>
                        <m:t>nj</m:t>
                      </m:r>
                      <m:ctrlPr>
                        <w:rPr>
                          <w:rFonts w:ascii="Cambria Math" w:hAnsi="Cambria Math"/>
                          <w:i/>
                          <w:sz w:val="20"/>
                          <w:szCs w:val="20"/>
                        </w:rPr>
                      </m:ctrlPr>
                    </m:sub>
                  </m:sSub>
                  <m:ctrlPr>
                    <w:rPr>
                      <w:rFonts w:ascii="Cambria Math" w:hAnsi="Cambria Math" w:eastAsia="Cambria Math" w:cs="Cambria Math"/>
                      <w:i/>
                      <w:sz w:val="20"/>
                      <w:szCs w:val="20"/>
                    </w:rPr>
                  </m:ctrlPr>
                </m:e>
              </m:mr>
              <m:mr>
                <m:e>
                  <m:sSub>
                    <m:sSubPr>
                      <m:ctrlPr>
                        <w:rPr>
                          <w:rFonts w:ascii="Cambria Math" w:hAnsi="Cambria Math" w:eastAsia="Cambria Math" w:cs="Cambria Math"/>
                          <w:i/>
                          <w:sz w:val="20"/>
                          <w:szCs w:val="20"/>
                        </w:rPr>
                      </m:ctrlPr>
                    </m:sSubPr>
                    <m:e>
                      <m:r>
                        <w:rPr>
                          <w:rFonts w:ascii="Cambria Math" w:hAnsi="Cambria Math" w:eastAsia="Cambria Math" w:cs="Cambria Math"/>
                          <w:sz w:val="20"/>
                          <w:szCs w:val="20"/>
                        </w:rPr>
                        <m:t>b</m:t>
                      </m:r>
                      <m:ctrlPr>
                        <w:rPr>
                          <w:rFonts w:ascii="Cambria Math" w:hAnsi="Cambria Math"/>
                          <w:i/>
                          <w:sz w:val="20"/>
                          <w:szCs w:val="20"/>
                        </w:rPr>
                      </m:ctrlPr>
                    </m:e>
                    <m:sub>
                      <m:r>
                        <w:rPr>
                          <w:rFonts w:ascii="Cambria Math" w:hAnsi="Cambria Math" w:eastAsia="Cambria Math" w:cs="Cambria Math"/>
                          <w:sz w:val="20"/>
                          <w:szCs w:val="20"/>
                        </w:rPr>
                        <m:t>1j</m:t>
                      </m:r>
                      <m:ctrlPr>
                        <w:rPr>
                          <w:rFonts w:ascii="Cambria Math" w:hAnsi="Cambria Math"/>
                          <w:i/>
                          <w:sz w:val="20"/>
                          <w:szCs w:val="20"/>
                        </w:rPr>
                      </m:ctrlPr>
                    </m:sub>
                  </m:sSub>
                  <m:ctrlPr>
                    <w:rPr>
                      <w:rFonts w:ascii="Cambria Math" w:hAnsi="Cambria Math" w:eastAsia="Cambria Math" w:cs="Cambria Math"/>
                      <w:i/>
                      <w:sz w:val="20"/>
                      <w:szCs w:val="20"/>
                    </w:rPr>
                  </m:ctrlPr>
                </m:e>
                <m:e>
                  <m:r>
                    <w:rPr>
                      <w:rFonts w:ascii="Cambria Math" w:hAnsi="Cambria Math" w:eastAsia="Cambria Math" w:cs="Cambria Math"/>
                      <w:sz w:val="20"/>
                      <w:szCs w:val="20"/>
                    </w:rPr>
                    <m:t>…</m:t>
                  </m:r>
                  <m:ctrlPr>
                    <w:rPr>
                      <w:rFonts w:ascii="Cambria Math" w:hAnsi="Cambria Math" w:eastAsia="Cambria Math" w:cs="Cambria Math"/>
                      <w:i/>
                      <w:sz w:val="20"/>
                      <w:szCs w:val="20"/>
                    </w:rPr>
                  </m:ctrlPr>
                </m:e>
                <m:e>
                  <m:sSub>
                    <m:sSubPr>
                      <m:ctrlPr>
                        <w:rPr>
                          <w:rFonts w:ascii="Cambria Math" w:hAnsi="Cambria Math" w:eastAsia="Cambria Math" w:cs="Cambria Math"/>
                          <w:i/>
                          <w:sz w:val="20"/>
                          <w:szCs w:val="20"/>
                        </w:rPr>
                      </m:ctrlPr>
                    </m:sSubPr>
                    <m:e>
                      <m:r>
                        <w:rPr>
                          <w:rFonts w:ascii="Cambria Math" w:hAnsi="Cambria Math" w:eastAsia="Cambria Math" w:cs="Cambria Math"/>
                          <w:sz w:val="20"/>
                          <w:szCs w:val="20"/>
                        </w:rPr>
                        <m:t>b</m:t>
                      </m:r>
                      <m:ctrlPr>
                        <w:rPr>
                          <w:rFonts w:ascii="Cambria Math" w:hAnsi="Cambria Math"/>
                          <w:i/>
                          <w:sz w:val="20"/>
                          <w:szCs w:val="20"/>
                        </w:rPr>
                      </m:ctrlPr>
                    </m:e>
                    <m:sub>
                      <m:r>
                        <w:rPr>
                          <w:rFonts w:ascii="Cambria Math" w:hAnsi="Cambria Math" w:eastAsia="Cambria Math" w:cs="Cambria Math"/>
                          <w:sz w:val="20"/>
                          <w:szCs w:val="20"/>
                        </w:rPr>
                        <m:t>nj</m:t>
                      </m:r>
                      <m:ctrlPr>
                        <w:rPr>
                          <w:rFonts w:ascii="Cambria Math" w:hAnsi="Cambria Math"/>
                          <w:i/>
                          <w:sz w:val="20"/>
                          <w:szCs w:val="20"/>
                        </w:rPr>
                      </m:ctrlPr>
                    </m:sub>
                  </m:sSub>
                  <m:ctrlPr>
                    <w:rPr>
                      <w:rFonts w:ascii="Cambria Math" w:hAnsi="Cambria Math" w:eastAsia="Cambria Math" w:cs="Cambria Math"/>
                      <w:i/>
                      <w:sz w:val="20"/>
                      <w:szCs w:val="20"/>
                    </w:rPr>
                  </m:ctrlPr>
                </m:e>
                <m:e>
                  <m:r>
                    <w:rPr>
                      <w:rFonts w:ascii="Cambria Math" w:hAnsi="Cambria Math" w:eastAsia="Cambria Math" w:cs="Cambria Math"/>
                      <w:sz w:val="20"/>
                      <w:szCs w:val="20"/>
                    </w:rPr>
                    <m:t>0</m:t>
                  </m:r>
                  <m:ctrlPr>
                    <w:rPr>
                      <w:rFonts w:ascii="Cambria Math" w:hAnsi="Cambria Math" w:eastAsia="Cambria Math" w:cs="Cambria Math"/>
                      <w:i/>
                      <w:sz w:val="20"/>
                      <w:szCs w:val="20"/>
                    </w:rPr>
                  </m:ctrlPr>
                </m:e>
              </m:mr>
            </m:m>
            <m:ctrlPr>
              <w:rPr>
                <w:rFonts w:ascii="Cambria Math" w:hAnsi="Cambria Math"/>
                <w:sz w:val="20"/>
                <w:szCs w:val="20"/>
              </w:rPr>
            </m:ctrlPr>
          </m:e>
        </m:d>
        <m:d>
          <m:dPr>
            <m:begChr m:val="["/>
            <m:endChr m:val="]"/>
            <m:ctrlPr>
              <w:rPr>
                <w:rFonts w:ascii="Cambria Math" w:hAnsi="Cambria Math"/>
                <w:sz w:val="20"/>
                <w:szCs w:val="20"/>
              </w:rPr>
            </m:ctrlPr>
          </m:dPr>
          <m:e>
            <m:m>
              <m:mPr>
                <m:mcs>
                  <m:mc>
                    <m:mcPr>
                      <m:count m:val="1"/>
                      <m:mcJc m:val="center"/>
                    </m:mcPr>
                  </m:mc>
                </m:mcs>
                <m:ctrlPr>
                  <w:rPr>
                    <w:rFonts w:ascii="Cambria Math" w:hAnsi="Cambria Math"/>
                    <w:i/>
                    <w:sz w:val="20"/>
                    <w:szCs w:val="20"/>
                  </w:rPr>
                </m:ctrlPr>
              </m:mPr>
              <m:mr>
                <m:e>
                  <m:sSub>
                    <m:sSubPr>
                      <m:ctrlPr>
                        <w:rPr>
                          <w:rFonts w:ascii="Cambria Math" w:hAnsi="Cambria Math"/>
                          <w:i/>
                          <w:sz w:val="20"/>
                          <w:szCs w:val="20"/>
                        </w:rPr>
                      </m:ctrlPr>
                    </m:sSubPr>
                    <m:e>
                      <m:r>
                        <w:rPr>
                          <w:rFonts w:ascii="Cambria Math" w:hAnsi="Cambria Math"/>
                          <w:sz w:val="20"/>
                          <w:szCs w:val="20"/>
                        </w:rPr>
                        <m:t>w</m:t>
                      </m:r>
                      <m:ctrlPr>
                        <w:rPr>
                          <w:rFonts w:ascii="Cambria Math" w:hAnsi="Cambria Math"/>
                          <w:i/>
                          <w:sz w:val="20"/>
                          <w:szCs w:val="20"/>
                        </w:rPr>
                      </m:ctrlPr>
                    </m:e>
                    <m:sub>
                      <m:r>
                        <w:rPr>
                          <w:rFonts w:ascii="Cambria Math" w:hAnsi="Cambria Math"/>
                          <w:sz w:val="20"/>
                          <w:szCs w:val="20"/>
                        </w:rPr>
                        <m:t>1j</m:t>
                      </m:r>
                      <m:ctrlPr>
                        <w:rPr>
                          <w:rFonts w:ascii="Cambria Math" w:hAnsi="Cambria Math"/>
                          <w:i/>
                          <w:sz w:val="20"/>
                          <w:szCs w:val="20"/>
                        </w:rPr>
                      </m:ctrlPr>
                    </m:sub>
                  </m:sSub>
                  <m:ctrlPr>
                    <w:rPr>
                      <w:rFonts w:ascii="Cambria Math" w:hAnsi="Cambria Math"/>
                      <w:i/>
                      <w:sz w:val="20"/>
                      <w:szCs w:val="20"/>
                    </w:rPr>
                  </m:ctrlPr>
                </m:e>
              </m:mr>
              <m:mr>
                <m:e>
                  <m:r>
                    <w:rPr>
                      <w:rFonts w:ascii="Cambria Math" w:hAnsi="Cambria Math"/>
                      <w:sz w:val="20"/>
                      <w:szCs w:val="20"/>
                    </w:rPr>
                    <m:t>⋮</m:t>
                  </m:r>
                  <m:ctrlPr>
                    <w:rPr>
                      <w:rFonts w:ascii="Cambria Math" w:hAnsi="Cambria Math"/>
                      <w:i/>
                      <w:sz w:val="20"/>
                      <w:szCs w:val="20"/>
                    </w:rPr>
                  </m:ctrlPr>
                </m:e>
              </m:mr>
              <m:mr>
                <m:e>
                  <m:sSub>
                    <m:sSubPr>
                      <m:ctrlPr>
                        <w:rPr>
                          <w:rFonts w:ascii="Cambria Math" w:hAnsi="Cambria Math"/>
                          <w:i/>
                          <w:sz w:val="20"/>
                          <w:szCs w:val="20"/>
                        </w:rPr>
                      </m:ctrlPr>
                    </m:sSubPr>
                    <m:e>
                      <m:r>
                        <w:rPr>
                          <w:rFonts w:ascii="Cambria Math" w:hAnsi="Cambria Math"/>
                          <w:sz w:val="20"/>
                          <w:szCs w:val="20"/>
                        </w:rPr>
                        <m:t>w</m:t>
                      </m:r>
                      <m:ctrlPr>
                        <w:rPr>
                          <w:rFonts w:ascii="Cambria Math" w:hAnsi="Cambria Math"/>
                          <w:i/>
                          <w:sz w:val="20"/>
                          <w:szCs w:val="20"/>
                        </w:rPr>
                      </m:ctrlPr>
                    </m:e>
                    <m:sub>
                      <m:r>
                        <w:rPr>
                          <w:rFonts w:ascii="Cambria Math" w:hAnsi="Cambria Math"/>
                          <w:sz w:val="20"/>
                          <w:szCs w:val="20"/>
                        </w:rPr>
                        <m:t>nj</m:t>
                      </m:r>
                      <m:ctrlPr>
                        <w:rPr>
                          <w:rFonts w:ascii="Cambria Math" w:hAnsi="Cambria Math"/>
                          <w:i/>
                          <w:sz w:val="20"/>
                          <w:szCs w:val="20"/>
                        </w:rPr>
                      </m:ctrlPr>
                    </m:sub>
                  </m:sSub>
                  <m:ctrlPr>
                    <w:rPr>
                      <w:rFonts w:ascii="Cambria Math" w:hAnsi="Cambria Math" w:eastAsia="Cambria Math" w:cs="Cambria Math"/>
                      <w:i/>
                      <w:sz w:val="20"/>
                      <w:szCs w:val="20"/>
                    </w:rPr>
                  </m:ctrlPr>
                </m:e>
              </m:mr>
              <m:mr>
                <m:e>
                  <m:r>
                    <w:rPr>
                      <w:rFonts w:ascii="Cambria Math" w:hAnsi="Cambria Math" w:eastAsia="Cambria Math" w:cs="Cambria Math"/>
                      <w:sz w:val="20"/>
                      <w:szCs w:val="20"/>
                    </w:rPr>
                    <m:t>μ</m:t>
                  </m:r>
                  <m:ctrlPr>
                    <w:rPr>
                      <w:rFonts w:ascii="Cambria Math" w:hAnsi="Cambria Math"/>
                      <w:i/>
                      <w:sz w:val="20"/>
                      <w:szCs w:val="20"/>
                    </w:rPr>
                  </m:ctrlPr>
                </m:e>
              </m:mr>
            </m:m>
            <m:ctrlPr>
              <w:rPr>
                <w:rFonts w:ascii="Cambria Math" w:hAnsi="Cambria Math"/>
                <w:i/>
                <w:sz w:val="20"/>
                <w:szCs w:val="20"/>
              </w:rPr>
            </m:ctrlPr>
          </m:e>
        </m:d>
        <m:r>
          <w:rPr>
            <w:rFonts w:ascii="Cambria Math" w:hAnsi="Cambria Math"/>
            <w:sz w:val="20"/>
            <w:szCs w:val="20"/>
          </w:rPr>
          <m:t>=</m:t>
        </m:r>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1</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i/>
                      <w:sz w:val="20"/>
                      <w:szCs w:val="20"/>
                    </w:rPr>
                  </m:ctrlPr>
                </m:e>
              </m:mr>
              <m:mr>
                <m:e>
                  <m:r>
                    <w:rPr>
                      <w:rFonts w:ascii="Cambria Math" w:hAnsi="Cambria Math"/>
                      <w:sz w:val="20"/>
                      <w:szCs w:val="20"/>
                    </w:rPr>
                    <m:t>⋮</m:t>
                  </m:r>
                  <m:ctrlPr>
                    <w:rPr>
                      <w:rFonts w:ascii="Cambria Math" w:hAnsi="Cambria Math"/>
                      <w:i/>
                      <w:sz w:val="20"/>
                      <w:szCs w:val="20"/>
                    </w:rPr>
                  </m:ctrlPr>
                </m:e>
              </m:mr>
              <m:mr>
                <m:e>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n</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ctrlPr>
                        <w:rPr>
                          <w:rFonts w:ascii="Cambria Math" w:hAnsi="Cambria Math"/>
                          <w:i/>
                          <w:sz w:val="20"/>
                          <w:szCs w:val="20"/>
                        </w:rPr>
                      </m:ctrlPr>
                    </m:e>
                  </m:d>
                  <m:ctrlPr>
                    <w:rPr>
                      <w:rFonts w:ascii="Cambria Math" w:hAnsi="Cambria Math" w:eastAsia="Cambria Math" w:cs="Cambria Math"/>
                      <w:i/>
                      <w:sz w:val="20"/>
                      <w:szCs w:val="20"/>
                    </w:rPr>
                  </m:ctrlPr>
                </m:e>
              </m:mr>
              <m:mr>
                <m:e>
                  <m:r>
                    <w:rPr>
                      <w:rFonts w:ascii="Cambria Math" w:hAnsi="Cambria Math" w:eastAsia="Cambria Math" w:cs="Cambria Math"/>
                      <w:sz w:val="20"/>
                      <w:szCs w:val="20"/>
                    </w:rPr>
                    <m:t>1</m:t>
                  </m:r>
                  <m:ctrlPr>
                    <w:rPr>
                      <w:rFonts w:ascii="Cambria Math" w:hAnsi="Cambria Math"/>
                      <w:i/>
                      <w:sz w:val="20"/>
                      <w:szCs w:val="20"/>
                    </w:rPr>
                  </m:ctrlPr>
                </m:e>
              </m:mr>
            </m:m>
            <m:ctrlPr>
              <w:rPr>
                <w:rFonts w:ascii="Cambria Math" w:hAnsi="Cambria Math"/>
                <w:i/>
                <w:sz w:val="20"/>
                <w:szCs w:val="20"/>
              </w:rPr>
            </m:ctrlPr>
          </m:e>
        </m:d>
      </m:oMath>
      <w:r>
        <w:rPr>
          <w:sz w:val="20"/>
          <w:szCs w:val="20"/>
        </w:rPr>
        <w:t xml:space="preserve">          (</w:t>
      </w:r>
      <w:r>
        <w:rPr>
          <w:rFonts w:hint="eastAsia"/>
          <w:sz w:val="20"/>
          <w:szCs w:val="20"/>
        </w:rPr>
        <w:t>A.7</w:t>
      </w:r>
      <w:r>
        <w:rPr>
          <w:sz w:val="20"/>
          <w:szCs w:val="20"/>
        </w:rPr>
        <w:t>)</w:t>
      </w:r>
    </w:p>
    <w:p>
      <w:pPr>
        <w:pStyle w:val="38"/>
        <w:spacing w:before="0" w:after="0" w:line="360" w:lineRule="auto"/>
        <w:rPr>
          <w:rFonts w:ascii="Cambria Math" w:hAnsi="Cambria Math"/>
          <w:sz w:val="20"/>
          <w:szCs w:val="20"/>
        </w:rPr>
      </w:pPr>
    </w:p>
    <w:p>
      <w:pPr>
        <w:pStyle w:val="38"/>
        <w:spacing w:before="0" w:after="0" w:line="360" w:lineRule="auto"/>
        <w:rPr>
          <w:rFonts w:ascii="Times New Roman" w:hAnsi="Times New Roman"/>
          <w:sz w:val="20"/>
          <w:szCs w:val="20"/>
        </w:rPr>
      </w:pPr>
      <w:r>
        <w:rPr>
          <w:rFonts w:ascii="Cambria Math" w:hAnsi="Cambria Math"/>
          <w:sz w:val="20"/>
          <w:szCs w:val="20"/>
        </w:rPr>
        <w:t xml:space="preserve">where </w:t>
      </w:r>
      <m:oMath>
        <m:r>
          <w:rPr>
            <w:rFonts w:ascii="Cambria Math" w:hAnsi="Cambria Math"/>
            <w:sz w:val="20"/>
            <w:szCs w:val="20"/>
          </w:rPr>
          <m:t>μ</m:t>
        </m:r>
      </m:oMath>
      <w:r>
        <w:rPr>
          <w:rFonts w:ascii="Times New Roman" w:hAnsi="Times New Roman"/>
          <w:sz w:val="20"/>
          <w:szCs w:val="20"/>
        </w:rPr>
        <w:t xml:space="preserve"> is a Lagrange multiplier. The minimized variance in the estimation error can then be written as:</w:t>
      </w:r>
    </w:p>
    <w:bookmarkEnd w:id="57"/>
    <w:bookmarkEnd w:id="58"/>
    <w:bookmarkEnd w:id="59"/>
    <w:p>
      <w:pPr>
        <w:ind w:firstLine="400"/>
        <w:jc w:val="right"/>
        <w:rPr>
          <w:sz w:val="20"/>
          <w:szCs w:val="20"/>
        </w:rPr>
      </w:pPr>
      <m:oMath>
        <m:sSubSup>
          <m:sSubSupPr>
            <m:ctrlPr>
              <w:rPr>
                <w:rFonts w:ascii="Cambria Math" w:hAnsi="Cambria Math"/>
                <w:i/>
                <w:sz w:val="20"/>
                <w:szCs w:val="20"/>
              </w:rPr>
            </m:ctrlPr>
          </m:sSubSupPr>
          <m:e>
            <m:r>
              <w:rPr>
                <w:rFonts w:ascii="Cambria Math" w:hAnsi="Cambria Math"/>
                <w:sz w:val="20"/>
                <w:szCs w:val="20"/>
              </w:rPr>
              <m:t>σ</m:t>
            </m:r>
            <m:ctrlPr>
              <w:rPr>
                <w:rFonts w:ascii="Cambria Math" w:hAnsi="Cambria Math"/>
                <w:i/>
                <w:sz w:val="20"/>
                <w:szCs w:val="20"/>
              </w:rPr>
            </m:ctrlPr>
          </m:e>
          <m:sub>
            <m:r>
              <w:rPr>
                <w:rFonts w:ascii="Cambria Math" w:hAnsi="Cambria Math"/>
                <w:sz w:val="20"/>
                <w:szCs w:val="20"/>
              </w:rPr>
              <m:t>y</m:t>
            </m:r>
            <m:ctrlPr>
              <w:rPr>
                <w:rFonts w:ascii="Cambria Math" w:hAnsi="Cambria Math"/>
                <w:i/>
                <w:sz w:val="20"/>
                <w:szCs w:val="20"/>
              </w:rPr>
            </m:ctrlPr>
          </m:sub>
          <m:sup>
            <m:r>
              <w:rPr>
                <w:rFonts w:ascii="Cambria Math" w:hAnsi="Cambria Math"/>
                <w:sz w:val="20"/>
                <w:szCs w:val="20"/>
              </w:rPr>
              <m:t>2</m:t>
            </m:r>
            <m:ctrlPr>
              <w:rPr>
                <w:rFonts w:ascii="Cambria Math" w:hAnsi="Cambria Math"/>
                <w:i/>
                <w:sz w:val="20"/>
                <w:szCs w:val="20"/>
              </w:rPr>
            </m:ctrlPr>
          </m:sup>
        </m:sSubSup>
        <m:r>
          <w:rPr>
            <w:rFonts w:ascii="Cambria Math" w:hAnsi="Cambria Math"/>
            <w:sz w:val="20"/>
            <w:szCs w:val="20"/>
          </w:rPr>
          <m:t>=</m:t>
        </m:r>
        <m:sSubSup>
          <m:sSubSupPr>
            <m:ctrlPr>
              <w:rPr>
                <w:rFonts w:ascii="Cambria Math" w:hAnsi="Cambria Math"/>
                <w:i/>
                <w:sz w:val="20"/>
                <w:szCs w:val="20"/>
              </w:rPr>
            </m:ctrlPr>
          </m:sSubSupPr>
          <m:e>
            <m:r>
              <w:rPr>
                <w:rFonts w:ascii="Cambria Math" w:hAnsi="Cambria Math"/>
                <w:sz w:val="20"/>
                <w:szCs w:val="20"/>
              </w:rPr>
              <m:t>σ</m:t>
            </m:r>
            <m:ctrlPr>
              <w:rPr>
                <w:rFonts w:ascii="Cambria Math" w:hAnsi="Cambria Math"/>
                <w:i/>
                <w:sz w:val="20"/>
                <w:szCs w:val="20"/>
              </w:rPr>
            </m:ctrlPr>
          </m:e>
          <m: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ctrlPr>
              <w:rPr>
                <w:rFonts w:ascii="Cambria Math" w:hAnsi="Cambria Math"/>
                <w:i/>
                <w:sz w:val="20"/>
                <w:szCs w:val="20"/>
              </w:rPr>
            </m:ctrlPr>
          </m:sub>
          <m:sup>
            <m:r>
              <w:rPr>
                <w:rFonts w:ascii="Cambria Math" w:hAnsi="Cambria Math"/>
                <w:sz w:val="20"/>
                <w:szCs w:val="20"/>
              </w:rPr>
              <m:t>2</m:t>
            </m:r>
            <m:ctrlPr>
              <w:rPr>
                <w:rFonts w:ascii="Cambria Math" w:hAnsi="Cambria Math"/>
                <w:i/>
                <w:sz w:val="20"/>
                <w:szCs w:val="20"/>
              </w:rPr>
            </m:ctrlPr>
          </m:sup>
        </m:sSubSup>
        <m:r>
          <w:rPr>
            <w:rFonts w:ascii="Cambria Math" w:hAnsi="Cambria Math"/>
            <w:sz w:val="20"/>
            <w:szCs w:val="20"/>
          </w:rPr>
          <m:t>+</m:t>
        </m:r>
        <m:sSubSup>
          <m:sSubSupPr>
            <m:ctrlPr>
              <w:rPr>
                <w:rFonts w:ascii="Cambria Math" w:hAnsi="Cambria Math"/>
                <w:sz w:val="20"/>
                <w:szCs w:val="20"/>
              </w:rPr>
            </m:ctrlPr>
          </m:sSubSupPr>
          <m:e>
            <m:r>
              <w:rPr>
                <w:rFonts w:ascii="Cambria Math" w:hAnsi="Cambria Math"/>
                <w:sz w:val="20"/>
                <w:szCs w:val="20"/>
              </w:rPr>
              <m:t>Σ</m:t>
            </m:r>
            <m:ctrlPr>
              <w:rPr>
                <w:rFonts w:ascii="Cambria Math" w:hAnsi="Cambria Math"/>
                <w:i/>
                <w:sz w:val="20"/>
                <w:szCs w:val="20"/>
              </w:rPr>
            </m:ctrlPr>
          </m:e>
          <m:sub>
            <m:r>
              <w:rPr>
                <w:rFonts w:ascii="Cambria Math" w:hAnsi="Cambria Math"/>
                <w:sz w:val="20"/>
                <w:szCs w:val="20"/>
              </w:rPr>
              <m:t>i=1</m:t>
            </m:r>
            <m:ctrlPr>
              <w:rPr>
                <w:rFonts w:ascii="Cambria Math" w:hAnsi="Cambria Math"/>
                <w:i/>
                <w:sz w:val="20"/>
                <w:szCs w:val="20"/>
              </w:rPr>
            </m:ctrlPr>
          </m:sub>
          <m:sup>
            <m:r>
              <w:rPr>
                <w:rFonts w:ascii="Cambria Math" w:hAnsi="Cambria Math"/>
                <w:sz w:val="20"/>
                <w:szCs w:val="20"/>
              </w:rPr>
              <m:t>n</m:t>
            </m:r>
            <m:ctrlPr>
              <w:rPr>
                <w:rFonts w:ascii="Cambria Math" w:hAnsi="Cambria Math"/>
                <w:i/>
                <w:sz w:val="20"/>
                <w:szCs w:val="20"/>
              </w:rPr>
            </m:ctrlPr>
          </m:sup>
        </m:sSubSup>
        <m:sSubSup>
          <m:sSubSupPr>
            <m:ctrlPr>
              <w:rPr>
                <w:rFonts w:ascii="Cambria Math" w:hAnsi="Cambria Math"/>
                <w:sz w:val="20"/>
                <w:szCs w:val="20"/>
              </w:rPr>
            </m:ctrlPr>
          </m:sSubSupPr>
          <m:e>
            <m:r>
              <w:rPr>
                <w:rFonts w:ascii="Cambria Math" w:hAnsi="Cambria Math"/>
                <w:sz w:val="20"/>
                <w:szCs w:val="20"/>
              </w:rPr>
              <m:t>Σ</m:t>
            </m:r>
            <m:ctrlPr>
              <w:rPr>
                <w:rFonts w:ascii="Cambria Math" w:hAnsi="Cambria Math"/>
                <w:i/>
                <w:sz w:val="20"/>
                <w:szCs w:val="20"/>
              </w:rPr>
            </m:ctrlPr>
          </m:e>
          <m:sub>
            <m:r>
              <w:rPr>
                <w:rFonts w:ascii="Cambria Math" w:hAnsi="Cambria Math"/>
                <w:sz w:val="20"/>
                <w:szCs w:val="20"/>
              </w:rPr>
              <m:t>k=1</m:t>
            </m:r>
            <m:ctrlPr>
              <w:rPr>
                <w:rFonts w:ascii="Cambria Math" w:hAnsi="Cambria Math"/>
                <w:i/>
                <w:sz w:val="20"/>
                <w:szCs w:val="20"/>
              </w:rPr>
            </m:ctrlPr>
          </m:sub>
          <m:sup>
            <m:r>
              <w:rPr>
                <w:rFonts w:ascii="Cambria Math" w:hAnsi="Cambria Math"/>
                <w:sz w:val="20"/>
                <w:szCs w:val="20"/>
              </w:rPr>
              <m:t>n</m:t>
            </m:r>
            <m:ctrlPr>
              <w:rPr>
                <w:rFonts w:ascii="Cambria Math" w:hAnsi="Cambria Math"/>
                <w:i/>
                <w:sz w:val="20"/>
                <w:szCs w:val="20"/>
              </w:rPr>
            </m:ctrlPr>
          </m:sup>
        </m:sSubSup>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k</m:t>
                </m:r>
                <m:ctrlPr>
                  <w:rPr>
                    <w:rFonts w:ascii="Cambria Math" w:hAnsi="Cambria Math"/>
                    <w:i/>
                    <w:sz w:val="20"/>
                    <w:szCs w:val="20"/>
                  </w:rPr>
                </m:ctrlPr>
              </m:sub>
            </m:sSub>
            <m:ctrlPr>
              <w:rPr>
                <w:rFonts w:ascii="Cambria Math" w:hAnsi="Cambria Math"/>
                <w:i/>
                <w:sz w:val="20"/>
                <w:szCs w:val="20"/>
              </w:rPr>
            </m:ctrlPr>
          </m:e>
        </m:d>
        <m:r>
          <w:rPr>
            <w:rFonts w:ascii="Cambria Math" w:hAnsi="Cambria Math"/>
            <w:sz w:val="20"/>
            <w:szCs w:val="20"/>
          </w:rPr>
          <m:t>-2</m:t>
        </m:r>
        <m:sSubSup>
          <m:sSubSupPr>
            <m:ctrlPr>
              <w:rPr>
                <w:rFonts w:ascii="Cambria Math" w:hAnsi="Cambria Math"/>
                <w:sz w:val="20"/>
                <w:szCs w:val="20"/>
              </w:rPr>
            </m:ctrlPr>
          </m:sSubSupPr>
          <m:e>
            <m:r>
              <w:rPr>
                <w:rFonts w:ascii="Cambria Math" w:hAnsi="Cambria Math"/>
                <w:sz w:val="20"/>
                <w:szCs w:val="20"/>
              </w:rPr>
              <m:t>Σ</m:t>
            </m:r>
            <m:ctrlPr>
              <w:rPr>
                <w:rFonts w:ascii="Cambria Math" w:hAnsi="Cambria Math"/>
                <w:i/>
                <w:sz w:val="20"/>
                <w:szCs w:val="20"/>
              </w:rPr>
            </m:ctrlPr>
          </m:e>
          <m:sub>
            <m:r>
              <w:rPr>
                <w:rFonts w:ascii="Cambria Math" w:hAnsi="Cambria Math"/>
                <w:sz w:val="20"/>
                <w:szCs w:val="20"/>
              </w:rPr>
              <m:t>i=1</m:t>
            </m:r>
            <m:ctrlPr>
              <w:rPr>
                <w:rFonts w:ascii="Cambria Math" w:hAnsi="Cambria Math"/>
                <w:i/>
                <w:sz w:val="20"/>
                <w:szCs w:val="20"/>
              </w:rPr>
            </m:ctrlPr>
          </m:sub>
          <m:sup>
            <m:r>
              <w:rPr>
                <w:rFonts w:ascii="Cambria Math" w:hAnsi="Cambria Math"/>
                <w:sz w:val="20"/>
                <w:szCs w:val="20"/>
              </w:rPr>
              <m:t>n</m:t>
            </m:r>
            <m:ctrlPr>
              <w:rPr>
                <w:rFonts w:ascii="Cambria Math" w:hAnsi="Cambria Math"/>
                <w:i/>
                <w:sz w:val="20"/>
                <w:szCs w:val="20"/>
              </w:rPr>
            </m:ctrlPr>
          </m:sup>
        </m:sSubSup>
        <m:sSub>
          <m:sSubPr>
            <m:ctrlPr>
              <w:rPr>
                <w:rFonts w:ascii="Cambria Math" w:hAnsi="Cambria Math"/>
                <w:i/>
                <w:sz w:val="20"/>
                <w:szCs w:val="20"/>
              </w:rPr>
            </m:ctrlPr>
          </m:sSubPr>
          <m:e>
            <m:r>
              <w:rPr>
                <w:rFonts w:ascii="Cambria Math" w:hAnsi="Cambria Math"/>
                <w:sz w:val="20"/>
                <w:szCs w:val="20"/>
              </w:rPr>
              <m:t>w</m:t>
            </m:r>
            <m:ctrlPr>
              <w:rPr>
                <w:rFonts w:ascii="Cambria Math" w:hAnsi="Cambria Math"/>
                <w:i/>
                <w:sz w:val="20"/>
                <w:szCs w:val="20"/>
              </w:rPr>
            </m:ctrlPr>
          </m:e>
          <m:sub>
            <m:r>
              <w:rPr>
                <w:rFonts w:ascii="Cambria Math" w:hAnsi="Cambria Math"/>
                <w:sz w:val="20"/>
                <w:szCs w:val="20"/>
              </w:rPr>
              <m:t>ij</m:t>
            </m:r>
            <m:ctrlPr>
              <w:rPr>
                <w:rFonts w:ascii="Cambria Math" w:hAnsi="Cambria Math"/>
                <w:i/>
                <w:sz w:val="20"/>
                <w:szCs w:val="20"/>
              </w:rPr>
            </m:ctrlPr>
          </m:sub>
        </m:sSub>
        <m:r>
          <w:rPr>
            <w:rFonts w:ascii="Cambria Math" w:hAnsi="Cambria Math"/>
            <w:sz w:val="20"/>
            <w:szCs w:val="20"/>
          </w:rPr>
          <m:t>C</m:t>
        </m:r>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i</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y</m:t>
                </m:r>
                <m:ctrlPr>
                  <w:rPr>
                    <w:rFonts w:ascii="Cambria Math" w:hAnsi="Cambria Math"/>
                    <w:i/>
                    <w:sz w:val="20"/>
                    <w:szCs w:val="20"/>
                  </w:rPr>
                </m:ctrlPr>
              </m:e>
              <m:sub>
                <m:r>
                  <w:rPr>
                    <w:rFonts w:ascii="Cambria Math" w:hAnsi="Cambria Math"/>
                    <w:sz w:val="20"/>
                    <w:szCs w:val="20"/>
                  </w:rPr>
                  <m:t>j</m:t>
                </m:r>
                <m:ctrlPr>
                  <w:rPr>
                    <w:rFonts w:ascii="Cambria Math" w:hAnsi="Cambria Math"/>
                    <w:i/>
                    <w:sz w:val="20"/>
                    <w:szCs w:val="20"/>
                  </w:rPr>
                </m:ctrlPr>
              </m:sub>
            </m:sSub>
            <m:ctrlPr>
              <w:rPr>
                <w:rFonts w:ascii="Cambria Math" w:hAnsi="Cambria Math"/>
                <w:i/>
                <w:sz w:val="20"/>
                <w:szCs w:val="20"/>
              </w:rPr>
            </m:ctrlPr>
          </m:e>
        </m:d>
        <m:r>
          <w:rPr>
            <w:rFonts w:ascii="Cambria Math" w:hAnsi="Cambria Math"/>
            <w:sz w:val="20"/>
            <w:szCs w:val="20"/>
          </w:rPr>
          <m:t>+2μ</m:t>
        </m:r>
        <m:d>
          <m:dPr>
            <m:ctrlPr>
              <w:rPr>
                <w:rFonts w:ascii="Cambria Math" w:hAnsi="Cambria Math"/>
                <w:i/>
                <w:sz w:val="20"/>
                <w:szCs w:val="20"/>
              </w:rPr>
            </m:ctrlPr>
          </m:dPr>
          <m:e>
            <m:sSubSup>
              <m:sSubSupPr>
                <m:ctrlPr>
                  <w:rPr>
                    <w:rFonts w:ascii="Cambria Math" w:hAnsi="Cambria Math"/>
                    <w:sz w:val="20"/>
                    <w:szCs w:val="20"/>
                  </w:rPr>
                </m:ctrlPr>
              </m:sSubSupPr>
              <m:e>
                <m:r>
                  <w:rPr>
                    <w:rFonts w:ascii="Cambria Math" w:hAnsi="Cambria Math"/>
                    <w:sz w:val="20"/>
                    <w:szCs w:val="20"/>
                  </w:rPr>
                  <m:t>Σ</m:t>
                </m:r>
                <m:ctrlPr>
                  <w:rPr>
                    <w:rFonts w:ascii="Cambria Math" w:hAnsi="Cambria Math"/>
                    <w:sz w:val="20"/>
                    <w:szCs w:val="20"/>
                  </w:rPr>
                </m:ctrlPr>
              </m:e>
              <m:sub>
                <m:r>
                  <w:rPr>
                    <w:rFonts w:ascii="Cambria Math" w:hAnsi="Cambria Math"/>
                    <w:sz w:val="20"/>
                    <w:szCs w:val="20"/>
                  </w:rPr>
                  <m:t>i=1</m:t>
                </m:r>
                <m:ctrlPr>
                  <w:rPr>
                    <w:rFonts w:ascii="Cambria Math" w:hAnsi="Cambria Math"/>
                    <w:sz w:val="20"/>
                    <w:szCs w:val="20"/>
                  </w:rPr>
                </m:ctrlPr>
              </m:sub>
              <m:sup>
                <m:r>
                  <w:rPr>
                    <w:rFonts w:ascii="Cambria Math" w:hAnsi="Cambria Math"/>
                    <w:sz w:val="20"/>
                    <w:szCs w:val="20"/>
                  </w:rPr>
                  <m:t>n</m:t>
                </m:r>
                <m:ctrlPr>
                  <w:rPr>
                    <w:rFonts w:ascii="Cambria Math" w:hAnsi="Cambria Math"/>
                    <w:sz w:val="20"/>
                    <w:szCs w:val="20"/>
                  </w:rPr>
                </m:ctrlPr>
              </m:sup>
            </m:sSubSup>
            <m:sSub>
              <m:sSubPr>
                <m:ctrlPr>
                  <w:rPr>
                    <w:rFonts w:ascii="Cambria Math" w:hAnsi="Cambria Math"/>
                    <w:i/>
                    <w:sz w:val="20"/>
                    <w:szCs w:val="20"/>
                  </w:rPr>
                </m:ctrlPr>
              </m:sSubPr>
              <m:e>
                <m:r>
                  <w:rPr>
                    <w:rFonts w:ascii="Cambria Math" w:hAnsi="Cambria Math"/>
                    <w:sz w:val="20"/>
                    <w:szCs w:val="20"/>
                  </w:rPr>
                  <m:t>w</m:t>
                </m:r>
                <m:ctrlPr>
                  <w:rPr>
                    <w:rFonts w:ascii="Cambria Math" w:hAnsi="Cambria Math"/>
                    <w:i/>
                    <w:sz w:val="20"/>
                    <w:szCs w:val="20"/>
                  </w:rPr>
                </m:ctrlPr>
              </m:e>
              <m:sub>
                <m:r>
                  <w:rPr>
                    <w:rFonts w:ascii="Cambria Math" w:hAnsi="Cambria Math"/>
                    <w:sz w:val="20"/>
                    <w:szCs w:val="20"/>
                  </w:rPr>
                  <m:t>ij</m:t>
                </m:r>
                <m:ctrlPr>
                  <w:rPr>
                    <w:rFonts w:ascii="Cambria Math" w:hAnsi="Cambria Math"/>
                    <w:i/>
                    <w:sz w:val="20"/>
                    <w:szCs w:val="20"/>
                  </w:rPr>
                </m:ctrlPr>
              </m:sub>
            </m:sSub>
            <m:sSub>
              <m:sSubPr>
                <m:ctrlPr>
                  <w:rPr>
                    <w:rFonts w:ascii="Cambria Math" w:hAnsi="Cambria Math"/>
                    <w:i/>
                    <w:sz w:val="20"/>
                    <w:szCs w:val="20"/>
                  </w:rPr>
                </m:ctrlPr>
              </m:sSubPr>
              <m:e>
                <m:r>
                  <w:rPr>
                    <w:rFonts w:ascii="Cambria Math" w:hAnsi="Cambria Math"/>
                    <w:sz w:val="20"/>
                    <w:szCs w:val="20"/>
                  </w:rPr>
                  <m:t>b</m:t>
                </m:r>
                <m:ctrlPr>
                  <w:rPr>
                    <w:rFonts w:ascii="Cambria Math" w:hAnsi="Cambria Math"/>
                    <w:i/>
                    <w:sz w:val="20"/>
                    <w:szCs w:val="20"/>
                  </w:rPr>
                </m:ctrlPr>
              </m:e>
              <m:sub>
                <m:r>
                  <w:rPr>
                    <w:rFonts w:ascii="Cambria Math" w:hAnsi="Cambria Math"/>
                    <w:sz w:val="20"/>
                    <w:szCs w:val="20"/>
                  </w:rPr>
                  <m:t>ij</m:t>
                </m:r>
                <m:ctrlPr>
                  <w:rPr>
                    <w:rFonts w:ascii="Cambria Math" w:hAnsi="Cambria Math"/>
                    <w:i/>
                    <w:sz w:val="20"/>
                    <w:szCs w:val="20"/>
                  </w:rPr>
                </m:ctrlPr>
              </m:sub>
            </m:sSub>
            <m:r>
              <w:rPr>
                <w:rFonts w:ascii="Cambria Math" w:hAnsi="Cambria Math"/>
                <w:sz w:val="20"/>
                <w:szCs w:val="20"/>
              </w:rPr>
              <m:t>-1</m:t>
            </m:r>
            <m:ctrlPr>
              <w:rPr>
                <w:rFonts w:ascii="Cambria Math" w:hAnsi="Cambria Math"/>
                <w:i/>
                <w:sz w:val="20"/>
                <w:szCs w:val="20"/>
              </w:rPr>
            </m:ctrlPr>
          </m:e>
        </m:d>
      </m:oMath>
      <w:r>
        <w:rPr>
          <w:sz w:val="20"/>
          <w:szCs w:val="20"/>
        </w:rPr>
        <w:t xml:space="preserve">   (</w:t>
      </w:r>
      <w:r>
        <w:rPr>
          <w:rFonts w:hint="eastAsia"/>
          <w:sz w:val="20"/>
          <w:szCs w:val="20"/>
        </w:rPr>
        <w:t>A.8</w:t>
      </w:r>
      <w:r>
        <w:rPr>
          <w:sz w:val="20"/>
          <w:szCs w:val="20"/>
        </w:rPr>
        <w:t>)</w:t>
      </w:r>
    </w:p>
    <w:p>
      <w:pPr>
        <w:pStyle w:val="3"/>
        <w:rPr>
          <w:szCs w:val="24"/>
        </w:rPr>
      </w:pPr>
      <w:bookmarkStart w:id="75" w:name="_Toc10010"/>
      <w:r>
        <w:rPr>
          <w:szCs w:val="24"/>
        </w:rPr>
        <w:t>4 Forest Management and Planning Inventory (FMPI) data</w:t>
      </w:r>
      <w:bookmarkEnd w:id="75"/>
    </w:p>
    <w:p>
      <w:pPr>
        <w:widowControl/>
        <w:ind w:firstLine="0" w:firstLineChars="0"/>
        <w:rPr>
          <w:color w:val="FF0000"/>
          <w:kern w:val="0"/>
          <w:sz w:val="20"/>
          <w:szCs w:val="24"/>
          <w:lang w:val="en-GB"/>
        </w:rPr>
      </w:pPr>
      <w:r>
        <w:rPr>
          <w:rFonts w:eastAsia="Times New Roman"/>
          <w:color w:val="FF0000"/>
          <w:kern w:val="0"/>
          <w:sz w:val="20"/>
          <w:szCs w:val="24"/>
          <w:lang w:val="en-GB" w:eastAsia="de-DE"/>
        </w:rPr>
        <w:t xml:space="preserve">The FMPI data for the entire study area were provided by the Forestry Department of Fujian Province, China. This forest inventory used large-scale sampling methods to collect detailed information about the characteristics and conditions of each forest type. The FMPI data consisted of irregular polygons that were drawn based on the structured characteristics of the forest. Each polygon was </w:t>
      </w:r>
      <w:r>
        <w:rPr>
          <w:color w:val="FF0000"/>
          <w:kern w:val="0"/>
          <w:sz w:val="20"/>
          <w:szCs w:val="24"/>
        </w:rPr>
        <w:t>homogeneously</w:t>
      </w:r>
      <w:r>
        <w:rPr>
          <w:rFonts w:hint="eastAsia"/>
          <w:color w:val="FF0000"/>
          <w:kern w:val="0"/>
          <w:sz w:val="20"/>
          <w:szCs w:val="24"/>
        </w:rPr>
        <w:t xml:space="preserve"> structured</w:t>
      </w:r>
      <w:r>
        <w:rPr>
          <w:rFonts w:eastAsia="Times New Roman"/>
          <w:color w:val="FF0000"/>
          <w:kern w:val="0"/>
          <w:sz w:val="20"/>
          <w:szCs w:val="24"/>
          <w:lang w:eastAsia="de-DE"/>
        </w:rPr>
        <w:t xml:space="preserve">. </w:t>
      </w:r>
      <w:r>
        <w:rPr>
          <w:rFonts w:eastAsia="Times New Roman"/>
          <w:color w:val="FF0000"/>
          <w:kern w:val="0"/>
          <w:sz w:val="20"/>
          <w:szCs w:val="24"/>
          <w:lang w:val="en-GB" w:eastAsia="de-DE"/>
        </w:rPr>
        <w:t xml:space="preserve">In this study, we selected FMPI data for </w:t>
      </w:r>
      <w:r>
        <w:rPr>
          <w:rFonts w:eastAsia="Times New Roman"/>
          <w:i/>
          <w:color w:val="FF0000"/>
          <w:kern w:val="0"/>
          <w:sz w:val="20"/>
          <w:szCs w:val="24"/>
          <w:lang w:val="en-GB" w:eastAsia="de-DE"/>
        </w:rPr>
        <w:t>Eucalyptus</w:t>
      </w:r>
      <w:r>
        <w:rPr>
          <w:rFonts w:eastAsia="Times New Roman"/>
          <w:color w:val="FF0000"/>
          <w:kern w:val="0"/>
          <w:sz w:val="20"/>
          <w:szCs w:val="24"/>
          <w:lang w:val="en-GB" w:eastAsia="de-DE"/>
        </w:rPr>
        <w:t xml:space="preserve"> plantation forests</w:t>
      </w:r>
      <w:r>
        <w:rPr>
          <w:rFonts w:hint="eastAsia"/>
          <w:color w:val="FF0000"/>
          <w:kern w:val="0"/>
          <w:sz w:val="20"/>
          <w:szCs w:val="24"/>
        </w:rPr>
        <w:t xml:space="preserve"> (2</w:t>
      </w:r>
      <w:r>
        <w:rPr>
          <w:color w:val="FF0000"/>
          <w:kern w:val="0"/>
          <w:sz w:val="20"/>
          <w:szCs w:val="24"/>
        </w:rPr>
        <w:t>,</w:t>
      </w:r>
      <w:r>
        <w:rPr>
          <w:rFonts w:hint="eastAsia"/>
          <w:color w:val="FF0000"/>
          <w:kern w:val="0"/>
          <w:sz w:val="20"/>
          <w:szCs w:val="24"/>
        </w:rPr>
        <w:t>980 patches)</w:t>
      </w:r>
      <w:r>
        <w:rPr>
          <w:i/>
          <w:iCs/>
          <w:color w:val="FF0000"/>
          <w:kern w:val="0"/>
          <w:sz w:val="20"/>
          <w:szCs w:val="24"/>
          <w:lang w:val="en-GB"/>
        </w:rPr>
        <w:t>.</w:t>
      </w:r>
    </w:p>
    <w:p>
      <w:pPr>
        <w:widowControl/>
        <w:ind w:firstLine="0" w:firstLineChars="0"/>
        <w:rPr>
          <w:rFonts w:eastAsia="Times New Roman"/>
          <w:kern w:val="0"/>
          <w:sz w:val="20"/>
          <w:szCs w:val="24"/>
          <w:lang w:val="en-GB" w:eastAsia="de-DE"/>
        </w:rPr>
      </w:pPr>
      <w:r>
        <w:rPr>
          <w:rFonts w:hint="eastAsia"/>
          <w:kern w:val="0"/>
          <w:sz w:val="20"/>
          <w:szCs w:val="24"/>
        </w:rPr>
        <w:t xml:space="preserve">In every patch, </w:t>
      </w:r>
      <w:r>
        <w:rPr>
          <w:rFonts w:eastAsia="Times New Roman"/>
          <w:kern w:val="0"/>
          <w:sz w:val="20"/>
          <w:szCs w:val="24"/>
          <w:lang w:val="en-GB" w:eastAsia="de-DE"/>
        </w:rPr>
        <w:t>all trees with a diameter at breast height (DBH) greater than 8 cm were measured. The data contained patch area, tree age (which was the same for all trees in a given patch because they were planted at the same time), plantation density,</w:t>
      </w:r>
      <w:r>
        <w:rPr>
          <w:rFonts w:eastAsia="Times New Roman"/>
          <w:color w:val="FF0000"/>
          <w:kern w:val="0"/>
          <w:sz w:val="20"/>
          <w:szCs w:val="24"/>
          <w:lang w:val="en-GB" w:eastAsia="de-DE"/>
        </w:rPr>
        <w:t xml:space="preserve"> mean</w:t>
      </w:r>
      <w:r>
        <w:rPr>
          <w:rFonts w:eastAsia="Times New Roman"/>
          <w:kern w:val="0"/>
          <w:sz w:val="20"/>
          <w:szCs w:val="24"/>
          <w:lang w:val="en-GB" w:eastAsia="de-DE"/>
        </w:rPr>
        <w:t xml:space="preserve"> DBH, </w:t>
      </w:r>
      <w:r>
        <w:rPr>
          <w:rFonts w:eastAsia="Times New Roman"/>
          <w:color w:val="FF0000"/>
          <w:kern w:val="0"/>
          <w:sz w:val="20"/>
          <w:szCs w:val="24"/>
          <w:lang w:val="en-GB" w:eastAsia="de-DE"/>
        </w:rPr>
        <w:t xml:space="preserve">mean </w:t>
      </w:r>
      <w:r>
        <w:rPr>
          <w:rFonts w:eastAsia="Times New Roman"/>
          <w:kern w:val="0"/>
          <w:sz w:val="20"/>
          <w:szCs w:val="24"/>
          <w:lang w:val="en-GB" w:eastAsia="de-DE"/>
        </w:rPr>
        <w:t xml:space="preserve">tree height, and total volume of each patch. All variables were measured within each forest patch and the average values were used as the factor value for each patch. </w:t>
      </w:r>
      <w:r>
        <w:rPr>
          <w:rFonts w:eastAsia="Times New Roman"/>
          <w:color w:val="FF0000"/>
          <w:kern w:val="0"/>
          <w:sz w:val="20"/>
          <w:szCs w:val="24"/>
          <w:lang w:val="en-GB" w:eastAsia="de-DE"/>
        </w:rPr>
        <w:t>The accuracy of forest patch variables was tested using systematic sampling.</w:t>
      </w:r>
      <w:r>
        <w:rPr>
          <w:rFonts w:eastAsia="Times New Roman"/>
          <w:kern w:val="0"/>
          <w:sz w:val="20"/>
          <w:szCs w:val="24"/>
          <w:lang w:val="en-GB" w:eastAsia="de-DE"/>
        </w:rPr>
        <w:t xml:space="preserve"> A 95% sampling precision was required. Table B.1 lists the statistical description of the forest patch data.</w:t>
      </w:r>
    </w:p>
    <w:p>
      <w:pPr>
        <w:pStyle w:val="3"/>
        <w:rPr>
          <w:rFonts w:eastAsia="宋体"/>
          <w:color w:val="FF0000"/>
          <w:lang w:val="en-US" w:eastAsia="zh-CN"/>
        </w:rPr>
      </w:pPr>
      <w:bookmarkStart w:id="76" w:name="_Toc4190"/>
      <w:r>
        <w:rPr>
          <w:color w:val="FF0000"/>
        </w:rPr>
        <w:t xml:space="preserve">5 </w:t>
      </w:r>
      <w:bookmarkEnd w:id="76"/>
      <w:r>
        <w:rPr>
          <w:rFonts w:hint="eastAsia"/>
          <w:color w:val="FF0000"/>
        </w:rPr>
        <w:t>Robustness of combined models</w:t>
      </w:r>
    </w:p>
    <w:p>
      <w:pPr>
        <w:widowControl/>
        <w:ind w:firstLine="0" w:firstLineChars="0"/>
        <w:rPr>
          <w:rFonts w:eastAsia="Times New Roman"/>
          <w:color w:val="FF0000"/>
          <w:kern w:val="0"/>
          <w:sz w:val="20"/>
          <w:szCs w:val="24"/>
          <w:lang w:val="en-GB" w:eastAsia="de-DE"/>
        </w:rPr>
      </w:pPr>
      <w:r>
        <w:rPr>
          <w:color w:val="FF0000"/>
          <w:kern w:val="0"/>
          <w:sz w:val="20"/>
          <w:szCs w:val="24"/>
          <w:lang w:val="en-GB"/>
        </w:rPr>
        <w:t xml:space="preserve">We established 22 independent sample plots (Figure C.2) and conducted non-destructive measurements of each tree in July 2019. We then repeated the plot-level model construction workflow for these data and evaluated the models. The independent sample plots were widely distributed throughout the </w:t>
      </w:r>
      <w:r>
        <w:rPr>
          <w:rFonts w:eastAsia="Times New Roman"/>
          <w:color w:val="FF0000"/>
          <w:kern w:val="0"/>
          <w:sz w:val="20"/>
          <w:szCs w:val="24"/>
          <w:lang w:val="en-GB" w:eastAsia="de-DE"/>
        </w:rPr>
        <w:t>eastern section of the study area.</w:t>
      </w:r>
    </w:p>
    <w:p>
      <w:pPr>
        <w:pStyle w:val="3"/>
        <w:rPr>
          <w:color w:val="FF0000"/>
        </w:rPr>
      </w:pPr>
      <w:bookmarkStart w:id="77" w:name="_Toc29678"/>
      <w:r>
        <w:rPr>
          <w:rFonts w:hint="eastAsia" w:eastAsia="宋体"/>
          <w:color w:val="FF0000"/>
          <w:lang w:val="en-US" w:eastAsia="zh-CN"/>
        </w:rPr>
        <w:t>6</w:t>
      </w:r>
      <w:r>
        <w:rPr>
          <w:rFonts w:hint="eastAsia"/>
          <w:color w:val="FF0000"/>
        </w:rPr>
        <w:t xml:space="preserve"> Model application and</w:t>
      </w:r>
      <w:r>
        <w:rPr>
          <w:color w:val="FF0000"/>
        </w:rPr>
        <w:t xml:space="preserve"> upscaling</w:t>
      </w:r>
      <w:r>
        <w:rPr>
          <w:rFonts w:hint="eastAsia"/>
          <w:color w:val="FF0000"/>
        </w:rPr>
        <w:t xml:space="preserve"> of AGB</w:t>
      </w:r>
      <w:r>
        <w:rPr>
          <w:color w:val="FF0000"/>
        </w:rPr>
        <w:t xml:space="preserve"> mapping</w:t>
      </w:r>
      <w:bookmarkEnd w:id="77"/>
    </w:p>
    <w:p>
      <w:pPr>
        <w:widowControl/>
        <w:ind w:firstLine="0" w:firstLineChars="0"/>
        <w:rPr>
          <w:color w:val="FF0000"/>
          <w:kern w:val="0"/>
          <w:sz w:val="20"/>
          <w:szCs w:val="24"/>
        </w:rPr>
      </w:pPr>
      <w:r>
        <w:rPr>
          <w:rFonts w:eastAsia="Times New Roman"/>
          <w:color w:val="FF0000"/>
          <w:kern w:val="0"/>
          <w:sz w:val="20"/>
          <w:szCs w:val="24"/>
          <w:lang w:val="en-GB" w:eastAsia="de-DE"/>
        </w:rPr>
        <w:t xml:space="preserve">We applied the chosen optimal model to each </w:t>
      </w:r>
      <w:r>
        <w:rPr>
          <w:rFonts w:eastAsia="Times New Roman"/>
          <w:i/>
          <w:color w:val="FF0000"/>
          <w:kern w:val="0"/>
          <w:sz w:val="20"/>
          <w:szCs w:val="24"/>
          <w:lang w:val="en-GB" w:eastAsia="de-DE"/>
        </w:rPr>
        <w:t>Eucalyptus</w:t>
      </w:r>
      <w:r>
        <w:rPr>
          <w:rFonts w:eastAsia="Times New Roman"/>
          <w:color w:val="FF0000"/>
          <w:kern w:val="0"/>
          <w:sz w:val="20"/>
          <w:szCs w:val="24"/>
          <w:lang w:val="en-GB" w:eastAsia="de-DE"/>
        </w:rPr>
        <w:t xml:space="preserve"> forest patch</w:t>
      </w:r>
      <w:r>
        <w:rPr>
          <w:rFonts w:hint="eastAsia"/>
          <w:color w:val="FF0000"/>
          <w:kern w:val="0"/>
          <w:sz w:val="20"/>
          <w:szCs w:val="24"/>
        </w:rPr>
        <w:t xml:space="preserve"> (2</w:t>
      </w:r>
      <w:r>
        <w:rPr>
          <w:color w:val="FF0000"/>
          <w:kern w:val="0"/>
          <w:sz w:val="20"/>
          <w:szCs w:val="24"/>
        </w:rPr>
        <w:t>,</w:t>
      </w:r>
      <w:r>
        <w:rPr>
          <w:rFonts w:hint="eastAsia"/>
          <w:color w:val="FF0000"/>
          <w:kern w:val="0"/>
          <w:sz w:val="20"/>
          <w:szCs w:val="24"/>
        </w:rPr>
        <w:t>980 patches)</w:t>
      </w:r>
      <w:r>
        <w:rPr>
          <w:rFonts w:eastAsia="Times New Roman"/>
          <w:color w:val="FF0000"/>
          <w:kern w:val="0"/>
          <w:sz w:val="20"/>
          <w:szCs w:val="24"/>
          <w:lang w:val="en-GB" w:eastAsia="de-DE"/>
        </w:rPr>
        <w:t xml:space="preserve"> and estimated the total AGB for all patches in the study area. </w:t>
      </w:r>
      <w:r>
        <w:rPr>
          <w:rFonts w:hint="eastAsia"/>
          <w:color w:val="FF0000"/>
          <w:kern w:val="0"/>
          <w:sz w:val="20"/>
          <w:szCs w:val="24"/>
          <w:lang w:val="en-GB"/>
        </w:rPr>
        <w:t>W</w:t>
      </w:r>
      <w:r>
        <w:rPr>
          <w:color w:val="FF0000"/>
          <w:kern w:val="0"/>
          <w:sz w:val="20"/>
          <w:szCs w:val="24"/>
          <w:lang w:val="en-GB"/>
        </w:rPr>
        <w:t>e regarded the irregular polygon forest patches from the FMPI as a homogenous sample plot and applied the optimal plot-level model to upscale forest AGB.</w:t>
      </w:r>
      <w:r>
        <w:rPr>
          <w:rFonts w:hint="eastAsia"/>
          <w:color w:val="FF0000"/>
          <w:kern w:val="0"/>
          <w:sz w:val="20"/>
          <w:szCs w:val="24"/>
        </w:rPr>
        <w:t xml:space="preserve"> We compared this upscal</w:t>
      </w:r>
      <w:r>
        <w:rPr>
          <w:color w:val="FF0000"/>
          <w:kern w:val="0"/>
          <w:sz w:val="20"/>
          <w:szCs w:val="24"/>
        </w:rPr>
        <w:t>ed</w:t>
      </w:r>
      <w:r>
        <w:rPr>
          <w:rFonts w:hint="eastAsia"/>
          <w:color w:val="FF0000"/>
          <w:kern w:val="0"/>
          <w:sz w:val="20"/>
          <w:szCs w:val="24"/>
        </w:rPr>
        <w:t xml:space="preserve"> forest AGB with the AGB map obtained by an allometric model</w:t>
      </w:r>
      <w:r>
        <w:rPr>
          <w:color w:val="FF0000"/>
          <w:kern w:val="0"/>
          <w:sz w:val="20"/>
          <w:szCs w:val="24"/>
        </w:rPr>
        <w:t xml:space="preserve"> and calculated the</w:t>
      </w:r>
      <w:r>
        <w:rPr>
          <w:rFonts w:hint="eastAsia"/>
          <w:color w:val="FF0000"/>
          <w:kern w:val="0"/>
          <w:sz w:val="20"/>
          <w:szCs w:val="24"/>
        </w:rPr>
        <w:t xml:space="preserve"> relative error (RE) (see </w:t>
      </w:r>
      <w:r>
        <w:rPr>
          <w:color w:val="FF0000"/>
          <w:kern w:val="0"/>
          <w:sz w:val="20"/>
          <w:szCs w:val="24"/>
        </w:rPr>
        <w:t xml:space="preserve">Equation </w:t>
      </w:r>
      <w:r>
        <w:rPr>
          <w:rFonts w:hint="eastAsia"/>
          <w:color w:val="FF0000"/>
          <w:kern w:val="0"/>
          <w:sz w:val="20"/>
          <w:szCs w:val="24"/>
        </w:rPr>
        <w:t xml:space="preserve">A.9) of AGB between the two methods. </w:t>
      </w:r>
    </w:p>
    <w:p>
      <w:pPr>
        <w:widowControl/>
        <w:ind w:firstLine="0" w:firstLineChars="0"/>
        <w:rPr>
          <w:color w:val="FF0000"/>
          <w:kern w:val="0"/>
          <w:sz w:val="20"/>
          <w:szCs w:val="24"/>
        </w:rPr>
      </w:pPr>
      <m:oMath>
        <m:r>
          <m:rPr>
            <m:sty m:val="p"/>
          </m:rPr>
          <w:rPr>
            <w:rFonts w:ascii="Cambria Math" w:hAnsi="Cambria Math"/>
            <w:color w:val="FF0000"/>
            <w:sz w:val="20"/>
            <w:szCs w:val="20"/>
          </w:rPr>
          <m:t>RE=</m:t>
        </m:r>
        <m:d>
          <m:dPr>
            <m:begChr m:val="|"/>
            <m:endChr m:val="|"/>
            <m:ctrlPr>
              <w:rPr>
                <w:rFonts w:ascii="Cambria Math" w:hAnsi="Cambria Math"/>
                <w:color w:val="FF0000"/>
                <w:sz w:val="20"/>
                <w:szCs w:val="20"/>
              </w:rPr>
            </m:ctrlPr>
          </m:dPr>
          <m:e>
            <m:sSub>
              <m:sSubPr>
                <m:ctrlPr>
                  <w:rPr>
                    <w:rFonts w:ascii="Cambria Math" w:hAnsi="Cambria Math"/>
                    <w:i/>
                    <w:color w:val="FF0000"/>
                    <w:sz w:val="20"/>
                    <w:szCs w:val="20"/>
                  </w:rPr>
                </m:ctrlPr>
              </m:sSubPr>
              <m:e>
                <m:r>
                  <w:rPr>
                    <w:rFonts w:ascii="Cambria Math" w:hAnsi="Cambria Math"/>
                    <w:color w:val="FF0000"/>
                    <w:sz w:val="20"/>
                    <w:szCs w:val="20"/>
                  </w:rPr>
                  <m:t>y</m:t>
                </m:r>
                <m:ctrlPr>
                  <w:rPr>
                    <w:rFonts w:ascii="Cambria Math" w:hAnsi="Cambria Math"/>
                    <w:i/>
                    <w:color w:val="FF0000"/>
                    <w:sz w:val="20"/>
                    <w:szCs w:val="20"/>
                  </w:rPr>
                </m:ctrlPr>
              </m:e>
              <m:sub>
                <m:r>
                  <w:rPr>
                    <w:rFonts w:ascii="Cambria Math" w:hAnsi="Cambria Math"/>
                    <w:color w:val="FF0000"/>
                    <w:sz w:val="20"/>
                    <w:szCs w:val="20"/>
                  </w:rPr>
                  <m:t>i</m:t>
                </m:r>
                <m:ctrlPr>
                  <w:rPr>
                    <w:rFonts w:ascii="Cambria Math" w:hAnsi="Cambria Math"/>
                    <w:i/>
                    <w:color w:val="FF0000"/>
                    <w:sz w:val="20"/>
                    <w:szCs w:val="20"/>
                  </w:rPr>
                </m:ctrlPr>
              </m:sub>
            </m:sSub>
            <m:r>
              <w:rPr>
                <w:rFonts w:ascii="Cambria Math" w:hAnsi="Cambria Math"/>
                <w:color w:val="FF0000"/>
                <w:sz w:val="20"/>
                <w:szCs w:val="20"/>
              </w:rPr>
              <m:t>-</m:t>
            </m:r>
            <m:sSub>
              <m:sSubPr>
                <m:ctrlPr>
                  <w:rPr>
                    <w:rFonts w:ascii="Cambria Math" w:hAnsi="Cambria Math"/>
                    <w:i/>
                    <w:color w:val="FF0000"/>
                    <w:sz w:val="20"/>
                    <w:szCs w:val="20"/>
                  </w:rPr>
                </m:ctrlPr>
              </m:sSubPr>
              <m:e>
                <m:r>
                  <w:rPr>
                    <w:rFonts w:ascii="Cambria Math" w:hAnsi="Cambria Math"/>
                    <w:color w:val="FF0000"/>
                    <w:sz w:val="20"/>
                    <w:szCs w:val="20"/>
                  </w:rPr>
                  <m:t>y</m:t>
                </m:r>
                <m:ctrlPr>
                  <w:rPr>
                    <w:rFonts w:ascii="Cambria Math" w:hAnsi="Cambria Math"/>
                    <w:i/>
                    <w:color w:val="FF0000"/>
                    <w:sz w:val="20"/>
                    <w:szCs w:val="20"/>
                  </w:rPr>
                </m:ctrlPr>
              </m:e>
              <m:sub>
                <m:r>
                  <w:rPr>
                    <w:rFonts w:ascii="Cambria Math" w:hAnsi="Cambria Math"/>
                    <w:color w:val="FF0000"/>
                    <w:sz w:val="20"/>
                    <w:szCs w:val="20"/>
                  </w:rPr>
                  <m:t>j</m:t>
                </m:r>
                <m:ctrlPr>
                  <w:rPr>
                    <w:rFonts w:ascii="Cambria Math" w:hAnsi="Cambria Math"/>
                    <w:i/>
                    <w:color w:val="FF0000"/>
                    <w:sz w:val="20"/>
                    <w:szCs w:val="20"/>
                  </w:rPr>
                </m:ctrlPr>
              </m:sub>
            </m:sSub>
            <m:ctrlPr>
              <w:rPr>
                <w:rFonts w:ascii="Cambria Math" w:hAnsi="Cambria Math"/>
                <w:color w:val="FF0000"/>
                <w:sz w:val="20"/>
                <w:szCs w:val="20"/>
              </w:rPr>
            </m:ctrlPr>
          </m:e>
        </m:d>
        <m:r>
          <w:rPr>
            <w:rFonts w:ascii="Cambria Math" w:hAnsi="Cambria Math"/>
            <w:color w:val="FF0000"/>
            <w:sz w:val="20"/>
            <w:szCs w:val="20"/>
          </w:rPr>
          <m:t>/</m:t>
        </m:r>
        <m:sSub>
          <m:sSubPr>
            <m:ctrlPr>
              <w:rPr>
                <w:rFonts w:ascii="Cambria Math" w:hAnsi="Cambria Math"/>
                <w:i/>
                <w:color w:val="FF0000"/>
                <w:sz w:val="20"/>
                <w:szCs w:val="20"/>
              </w:rPr>
            </m:ctrlPr>
          </m:sSubPr>
          <m:e>
            <m:r>
              <w:rPr>
                <w:rFonts w:ascii="Cambria Math" w:hAnsi="Cambria Math"/>
                <w:color w:val="FF0000"/>
                <w:sz w:val="20"/>
                <w:szCs w:val="20"/>
              </w:rPr>
              <m:t>y</m:t>
            </m:r>
            <m:ctrlPr>
              <w:rPr>
                <w:rFonts w:ascii="Cambria Math" w:hAnsi="Cambria Math"/>
                <w:i/>
                <w:color w:val="FF0000"/>
                <w:sz w:val="20"/>
                <w:szCs w:val="20"/>
              </w:rPr>
            </m:ctrlPr>
          </m:e>
          <m:sub>
            <m:r>
              <w:rPr>
                <w:rFonts w:ascii="Cambria Math" w:hAnsi="Cambria Math"/>
                <w:color w:val="FF0000"/>
                <w:sz w:val="20"/>
                <w:szCs w:val="20"/>
              </w:rPr>
              <m:t>i</m:t>
            </m:r>
            <m:ctrlPr>
              <w:rPr>
                <w:rFonts w:ascii="Cambria Math" w:hAnsi="Cambria Math"/>
                <w:i/>
                <w:color w:val="FF0000"/>
                <w:sz w:val="20"/>
                <w:szCs w:val="20"/>
              </w:rPr>
            </m:ctrlPr>
          </m:sub>
        </m:sSub>
        <m:r>
          <w:rPr>
            <w:rFonts w:ascii="Cambria Math" w:hAnsi="Cambria Math"/>
            <w:color w:val="FF0000"/>
            <w:sz w:val="20"/>
            <w:szCs w:val="20"/>
          </w:rPr>
          <m:t>×100%</m:t>
        </m:r>
      </m:oMath>
      <w:r>
        <w:rPr>
          <w:color w:val="FF0000"/>
          <w:sz w:val="20"/>
          <w:szCs w:val="20"/>
        </w:rPr>
        <w:t xml:space="preserve">                 </w:t>
      </w:r>
      <w:r>
        <w:rPr>
          <w:rFonts w:hint="eastAsia"/>
          <w:color w:val="FF0000"/>
          <w:kern w:val="0"/>
          <w:sz w:val="20"/>
          <w:szCs w:val="24"/>
        </w:rPr>
        <w:t xml:space="preserve">  </w:t>
      </w:r>
      <w:r>
        <w:rPr>
          <w:color w:val="FF0000"/>
          <w:kern w:val="0"/>
          <w:sz w:val="20"/>
          <w:szCs w:val="24"/>
        </w:rPr>
        <w:t>(A.</w:t>
      </w:r>
      <w:r>
        <w:rPr>
          <w:rFonts w:hint="eastAsia"/>
          <w:color w:val="FF0000"/>
          <w:kern w:val="0"/>
          <w:sz w:val="20"/>
          <w:szCs w:val="24"/>
        </w:rPr>
        <w:t>9</w:t>
      </w:r>
      <w:r>
        <w:rPr>
          <w:color w:val="FF0000"/>
          <w:kern w:val="0"/>
          <w:sz w:val="20"/>
          <w:szCs w:val="24"/>
        </w:rPr>
        <w:t>)</w:t>
      </w:r>
    </w:p>
    <w:p>
      <w:pPr>
        <w:widowControl/>
        <w:ind w:firstLine="0" w:firstLineChars="0"/>
        <w:rPr>
          <w:color w:val="FF0000"/>
          <w:kern w:val="0"/>
          <w:sz w:val="20"/>
          <w:szCs w:val="24"/>
        </w:rPr>
      </w:pPr>
      <w:r>
        <w:rPr>
          <w:rFonts w:hint="eastAsia"/>
          <w:color w:val="FF0000"/>
          <w:kern w:val="0"/>
          <w:sz w:val="20"/>
          <w:szCs w:val="24"/>
        </w:rPr>
        <w:t xml:space="preserve">where </w:t>
      </w:r>
      <m:oMath>
        <m:sSub>
          <m:sSubPr>
            <m:ctrlPr>
              <w:rPr>
                <w:rFonts w:ascii="Cambria Math" w:hAnsi="Cambria Math"/>
                <w:color w:val="FF0000"/>
                <w:kern w:val="0"/>
                <w:sz w:val="20"/>
                <w:szCs w:val="24"/>
              </w:rPr>
            </m:ctrlPr>
          </m:sSubPr>
          <m:e>
            <m:r>
              <w:rPr>
                <w:rFonts w:ascii="Cambria Math" w:hAnsi="Cambria Math"/>
                <w:color w:val="FF0000"/>
                <w:kern w:val="0"/>
                <w:sz w:val="20"/>
                <w:szCs w:val="24"/>
              </w:rPr>
              <m:t>y</m:t>
            </m:r>
            <m:ctrlPr>
              <w:rPr>
                <w:rFonts w:ascii="Cambria Math" w:hAnsi="Cambria Math"/>
                <w:color w:val="FF0000"/>
                <w:kern w:val="0"/>
                <w:sz w:val="20"/>
                <w:szCs w:val="24"/>
              </w:rPr>
            </m:ctrlPr>
          </m:e>
          <m:sub>
            <m:r>
              <w:rPr>
                <w:rFonts w:ascii="Cambria Math" w:hAnsi="Cambria Math"/>
                <w:color w:val="FF0000"/>
                <w:kern w:val="0"/>
                <w:sz w:val="20"/>
                <w:szCs w:val="24"/>
              </w:rPr>
              <m:t>j</m:t>
            </m:r>
            <m:ctrlPr>
              <w:rPr>
                <w:rFonts w:ascii="Cambria Math" w:hAnsi="Cambria Math"/>
                <w:color w:val="FF0000"/>
                <w:kern w:val="0"/>
                <w:sz w:val="20"/>
                <w:szCs w:val="24"/>
              </w:rPr>
            </m:ctrlPr>
          </m:sub>
        </m:sSub>
      </m:oMath>
      <w:r>
        <w:rPr>
          <w:rFonts w:hint="eastAsia"/>
          <w:color w:val="FF0000"/>
          <w:kern w:val="0"/>
          <w:sz w:val="20"/>
          <w:szCs w:val="24"/>
        </w:rPr>
        <w:t xml:space="preserve"> </w:t>
      </w:r>
      <w:r>
        <w:rPr>
          <w:color w:val="FF0000"/>
          <w:kern w:val="0"/>
          <w:sz w:val="20"/>
          <w:szCs w:val="24"/>
        </w:rPr>
        <w:t>represents</w:t>
      </w:r>
      <w:r>
        <w:rPr>
          <w:rFonts w:hint="eastAsia"/>
          <w:color w:val="FF0000"/>
          <w:kern w:val="0"/>
          <w:sz w:val="20"/>
          <w:szCs w:val="24"/>
        </w:rPr>
        <w:t xml:space="preserve"> the predictive AGB value of each </w:t>
      </w:r>
      <w:r>
        <w:rPr>
          <w:color w:val="FF0000"/>
          <w:kern w:val="0"/>
          <w:sz w:val="20"/>
          <w:szCs w:val="24"/>
          <w:lang w:val="en-GB"/>
        </w:rPr>
        <w:t>irregular polygon forest patch</w:t>
      </w:r>
      <w:r>
        <w:rPr>
          <w:rFonts w:hint="eastAsia"/>
          <w:color w:val="FF0000"/>
          <w:kern w:val="0"/>
          <w:sz w:val="20"/>
          <w:szCs w:val="24"/>
        </w:rPr>
        <w:t xml:space="preserve"> by the optimal model</w:t>
      </w:r>
      <w:r>
        <w:rPr>
          <w:color w:val="FF0000"/>
          <w:kern w:val="0"/>
          <w:sz w:val="20"/>
          <w:szCs w:val="24"/>
        </w:rPr>
        <w:t xml:space="preserve"> and</w:t>
      </w:r>
      <w:r>
        <w:rPr>
          <w:rFonts w:hint="eastAsia"/>
          <w:color w:val="FF0000"/>
          <w:kern w:val="0"/>
          <w:sz w:val="20"/>
          <w:szCs w:val="24"/>
        </w:rPr>
        <w:t xml:space="preserve"> </w:t>
      </w:r>
      <m:oMath>
        <m:sSub>
          <m:sSubPr>
            <m:ctrlPr>
              <w:rPr>
                <w:rFonts w:ascii="Cambria Math" w:hAnsi="Cambria Math"/>
                <w:color w:val="FF0000"/>
                <w:kern w:val="0"/>
                <w:sz w:val="20"/>
                <w:szCs w:val="24"/>
              </w:rPr>
            </m:ctrlPr>
          </m:sSubPr>
          <m:e>
            <m:r>
              <w:rPr>
                <w:rFonts w:ascii="Cambria Math" w:hAnsi="Cambria Math"/>
                <w:color w:val="FF0000"/>
                <w:kern w:val="0"/>
                <w:sz w:val="20"/>
                <w:szCs w:val="24"/>
              </w:rPr>
              <m:t>y</m:t>
            </m:r>
            <m:ctrlPr>
              <w:rPr>
                <w:rFonts w:ascii="Cambria Math" w:hAnsi="Cambria Math"/>
                <w:color w:val="FF0000"/>
                <w:kern w:val="0"/>
                <w:sz w:val="20"/>
                <w:szCs w:val="24"/>
              </w:rPr>
            </m:ctrlPr>
          </m:e>
          <m:sub>
            <m:r>
              <w:rPr>
                <w:rFonts w:ascii="Cambria Math" w:hAnsi="Cambria Math"/>
                <w:color w:val="FF0000"/>
                <w:kern w:val="0"/>
                <w:sz w:val="20"/>
                <w:szCs w:val="24"/>
              </w:rPr>
              <m:t>i</m:t>
            </m:r>
            <m:ctrlPr>
              <w:rPr>
                <w:rFonts w:ascii="Cambria Math" w:hAnsi="Cambria Math"/>
                <w:color w:val="FF0000"/>
                <w:kern w:val="0"/>
                <w:sz w:val="20"/>
                <w:szCs w:val="24"/>
              </w:rPr>
            </m:ctrlPr>
          </m:sub>
        </m:sSub>
      </m:oMath>
      <w:r>
        <w:rPr>
          <w:rFonts w:hint="eastAsia"/>
          <w:color w:val="FF0000"/>
          <w:kern w:val="0"/>
          <w:sz w:val="20"/>
          <w:szCs w:val="24"/>
        </w:rPr>
        <w:t xml:space="preserve"> is the predict</w:t>
      </w:r>
      <w:r>
        <w:rPr>
          <w:color w:val="FF0000"/>
          <w:kern w:val="0"/>
          <w:sz w:val="20"/>
          <w:szCs w:val="24"/>
        </w:rPr>
        <w:t>ed</w:t>
      </w:r>
      <w:r>
        <w:rPr>
          <w:rFonts w:hint="eastAsia"/>
          <w:color w:val="FF0000"/>
          <w:kern w:val="0"/>
          <w:sz w:val="20"/>
          <w:szCs w:val="24"/>
        </w:rPr>
        <w:t xml:space="preserve"> AGB value of each </w:t>
      </w:r>
      <w:r>
        <w:rPr>
          <w:color w:val="FF0000"/>
          <w:kern w:val="0"/>
          <w:sz w:val="20"/>
          <w:szCs w:val="24"/>
          <w:lang w:val="en-GB"/>
        </w:rPr>
        <w:t>irregular polygon forest patch</w:t>
      </w:r>
      <w:r>
        <w:rPr>
          <w:rFonts w:hint="eastAsia"/>
          <w:color w:val="FF0000"/>
          <w:kern w:val="0"/>
          <w:sz w:val="20"/>
          <w:szCs w:val="24"/>
        </w:rPr>
        <w:t xml:space="preserve"> by</w:t>
      </w:r>
      <w:r>
        <w:rPr>
          <w:color w:val="FF0000"/>
          <w:kern w:val="0"/>
          <w:sz w:val="20"/>
          <w:szCs w:val="24"/>
        </w:rPr>
        <w:t xml:space="preserve"> the</w:t>
      </w:r>
      <w:r>
        <w:rPr>
          <w:rFonts w:hint="eastAsia"/>
          <w:color w:val="FF0000"/>
          <w:kern w:val="0"/>
          <w:sz w:val="20"/>
          <w:szCs w:val="24"/>
        </w:rPr>
        <w:t xml:space="preserve"> allometric model.</w:t>
      </w:r>
    </w:p>
    <w:p>
      <w:pPr>
        <w:widowControl/>
        <w:ind w:firstLine="0" w:firstLineChars="0"/>
        <w:rPr>
          <w:color w:val="FF0000"/>
          <w:kern w:val="0"/>
          <w:sz w:val="20"/>
          <w:szCs w:val="24"/>
        </w:rPr>
      </w:pPr>
      <w:r>
        <w:rPr>
          <w:color w:val="FF0000"/>
          <w:kern w:val="0"/>
          <w:sz w:val="20"/>
          <w:szCs w:val="24"/>
        </w:rPr>
        <w:t xml:space="preserve">The allometric model was expressed as Equation, where DBH is the diameter at breast height (m), H is the tree height (m), and a and b are constants. This model is acknowledged as a fast, simple, and basic method to calculate regional AGB. In our study, we used the AGB, mean H, and mean DBH of the 30 sample plots to create the </w:t>
      </w:r>
      <w:r>
        <w:rPr>
          <w:rFonts w:hint="eastAsia"/>
          <w:color w:val="FF0000"/>
          <w:kern w:val="0"/>
          <w:sz w:val="20"/>
          <w:szCs w:val="24"/>
        </w:rPr>
        <w:t xml:space="preserve">plot-level </w:t>
      </w:r>
      <w:r>
        <w:rPr>
          <w:color w:val="FF0000"/>
          <w:kern w:val="0"/>
          <w:sz w:val="20"/>
          <w:szCs w:val="24"/>
        </w:rPr>
        <w:t>allometric model.</w:t>
      </w:r>
    </w:p>
    <w:p>
      <w:pPr>
        <w:widowControl/>
        <w:ind w:firstLine="0" w:firstLineChars="0"/>
        <w:rPr>
          <w:color w:val="FF0000"/>
          <w:sz w:val="20"/>
          <w:szCs w:val="20"/>
        </w:rPr>
      </w:pPr>
      <w:r>
        <w:rPr>
          <w:color w:val="FF0000"/>
          <w:sz w:val="20"/>
          <w:szCs w:val="20"/>
        </w:rPr>
        <w:t>Figure C.3 shows the spatial distribution of the AGBs predicted by the RF &amp; P-BSHADE model. The range of AGBs was 7.54-89.93 Mg·ha</w:t>
      </w:r>
      <w:r>
        <w:rPr>
          <w:color w:val="FF0000"/>
          <w:sz w:val="20"/>
          <w:szCs w:val="20"/>
          <w:vertAlign w:val="superscript"/>
        </w:rPr>
        <w:t>−1</w:t>
      </w:r>
      <w:r>
        <w:rPr>
          <w:color w:val="FF0000"/>
          <w:sz w:val="20"/>
          <w:szCs w:val="20"/>
        </w:rPr>
        <w:t>, with an average AGB of 41.21 Mg·ha</w:t>
      </w:r>
      <w:r>
        <w:rPr>
          <w:color w:val="FF0000"/>
          <w:sz w:val="20"/>
          <w:szCs w:val="20"/>
          <w:vertAlign w:val="superscript"/>
        </w:rPr>
        <w:t>−1</w:t>
      </w:r>
      <w:r>
        <w:rPr>
          <w:color w:val="FF0000"/>
          <w:sz w:val="20"/>
          <w:szCs w:val="20"/>
        </w:rPr>
        <w:t xml:space="preserve">, a median AGB of 43.53 </w:t>
      </w:r>
      <w:bookmarkStart w:id="78" w:name="OLE_LINK20"/>
      <w:bookmarkStart w:id="79" w:name="OLE_LINK21"/>
      <w:r>
        <w:rPr>
          <w:color w:val="FF0000"/>
          <w:sz w:val="20"/>
          <w:szCs w:val="20"/>
        </w:rPr>
        <w:t>Mg·ha</w:t>
      </w:r>
      <w:bookmarkEnd w:id="78"/>
      <w:bookmarkEnd w:id="79"/>
      <w:r>
        <w:rPr>
          <w:color w:val="FF0000"/>
          <w:sz w:val="20"/>
          <w:szCs w:val="20"/>
          <w:vertAlign w:val="superscript"/>
        </w:rPr>
        <w:t>−1</w:t>
      </w:r>
      <w:r>
        <w:rPr>
          <w:color w:val="FF0000"/>
          <w:sz w:val="20"/>
          <w:szCs w:val="20"/>
        </w:rPr>
        <w:t>, a standard deviation of 18.83 Mg·ha</w:t>
      </w:r>
      <w:r>
        <w:rPr>
          <w:color w:val="FF0000"/>
          <w:sz w:val="20"/>
          <w:szCs w:val="20"/>
          <w:vertAlign w:val="superscript"/>
        </w:rPr>
        <w:t>−1</w:t>
      </w:r>
      <w:r>
        <w:rPr>
          <w:color w:val="FF0000"/>
          <w:sz w:val="20"/>
          <w:szCs w:val="20"/>
        </w:rPr>
        <w:t xml:space="preserve">, and a coefficient of variation of 45.69%. </w:t>
      </w:r>
    </w:p>
    <w:p>
      <w:pPr>
        <w:pStyle w:val="78"/>
        <w:spacing w:before="163" w:after="163"/>
        <w:ind w:firstLine="0" w:firstLineChars="0"/>
        <w:rPr>
          <w:b/>
          <w:bCs/>
          <w:sz w:val="48"/>
          <w:szCs w:val="48"/>
        </w:rPr>
      </w:pPr>
      <w:bookmarkStart w:id="80" w:name="OLE_LINK19"/>
      <w:bookmarkStart w:id="81" w:name="OLE_LINK26"/>
      <w:r>
        <w:rPr>
          <w:color w:val="FF0000"/>
          <w:sz w:val="20"/>
          <w:szCs w:val="20"/>
        </w:rPr>
        <w:t>The total AGB of the Nanjing area (2,980 forest patches) estimated by RF &amp; P-BSHADE was 122,812.1 Mg·ha</w:t>
      </w:r>
      <w:r>
        <w:rPr>
          <w:color w:val="FF0000"/>
          <w:sz w:val="20"/>
          <w:szCs w:val="20"/>
          <w:vertAlign w:val="superscript"/>
        </w:rPr>
        <w:t>−1</w:t>
      </w:r>
      <w:r>
        <w:rPr>
          <w:color w:val="FF0000"/>
          <w:sz w:val="20"/>
          <w:szCs w:val="20"/>
        </w:rPr>
        <w:t xml:space="preserve"> and that estimated by the allometric model was 123,021.5 Mg·ha</w:t>
      </w:r>
      <w:r>
        <w:rPr>
          <w:color w:val="FF0000"/>
          <w:sz w:val="20"/>
          <w:szCs w:val="20"/>
          <w:vertAlign w:val="superscript"/>
        </w:rPr>
        <w:t>−1</w:t>
      </w:r>
      <w:r>
        <w:rPr>
          <w:color w:val="FF0000"/>
          <w:sz w:val="20"/>
          <w:szCs w:val="20"/>
        </w:rPr>
        <w:t>. The relative percent difference in total AGB between the two methods was 0.17%.</w:t>
      </w:r>
      <w:bookmarkEnd w:id="80"/>
      <w:bookmarkEnd w:id="81"/>
      <w:r>
        <w:rPr>
          <w:rFonts w:hint="eastAsia"/>
          <w:color w:val="FF0000"/>
          <w:sz w:val="20"/>
          <w:szCs w:val="20"/>
        </w:rPr>
        <w:t xml:space="preserve"> </w:t>
      </w:r>
      <w:r>
        <w:rPr>
          <w:color w:val="FF0000"/>
          <w:sz w:val="20"/>
          <w:szCs w:val="20"/>
        </w:rPr>
        <w:t>Meanwhile, the MRE of AGB between the two methods ranged from 0.04% to 99.8%, with an average MRE of 19.93%.</w:t>
      </w:r>
      <w:r>
        <w:rPr>
          <w:color w:val="FF0000"/>
        </w:rPr>
        <w:br w:type="page"/>
      </w:r>
      <w:bookmarkStart w:id="82" w:name="_Toc3774"/>
      <w:r>
        <w:rPr>
          <w:b/>
          <w:bCs/>
          <w:sz w:val="48"/>
          <w:szCs w:val="48"/>
        </w:rPr>
        <w:t>S2</w:t>
      </w:r>
      <w:bookmarkEnd w:id="82"/>
    </w:p>
    <w:p>
      <w:pPr>
        <w:ind w:firstLine="482"/>
        <w:jc w:val="left"/>
        <w:rPr>
          <w:b/>
        </w:rPr>
      </w:pPr>
      <w:bookmarkStart w:id="83" w:name="_Toc520101991"/>
    </w:p>
    <w:bookmarkEnd w:id="83"/>
    <w:p>
      <w:pPr>
        <w:ind w:firstLine="0" w:firstLineChars="0"/>
        <w:jc w:val="center"/>
        <w:rPr>
          <w:b/>
          <w:bCs/>
          <w:szCs w:val="24"/>
        </w:rPr>
      </w:pPr>
      <w:bookmarkStart w:id="84" w:name="_Toc506920673"/>
      <w:bookmarkStart w:id="85" w:name="_Toc520101993"/>
    </w:p>
    <w:p>
      <w:pPr>
        <w:ind w:firstLine="0" w:firstLineChars="0"/>
        <w:jc w:val="center"/>
        <w:outlineLvl w:val="1"/>
        <w:rPr>
          <w:sz w:val="20"/>
          <w:szCs w:val="20"/>
        </w:rPr>
      </w:pPr>
      <w:bookmarkStart w:id="86" w:name="_Toc23864"/>
      <w:r>
        <w:rPr>
          <w:b/>
          <w:bCs/>
          <w:sz w:val="20"/>
          <w:szCs w:val="20"/>
        </w:rPr>
        <w:t xml:space="preserve">Table </w:t>
      </w:r>
      <w:r>
        <w:rPr>
          <w:rFonts w:hint="eastAsia"/>
          <w:b/>
          <w:bCs/>
          <w:sz w:val="20"/>
          <w:szCs w:val="20"/>
        </w:rPr>
        <w:t>B.</w:t>
      </w:r>
      <w:r>
        <w:rPr>
          <w:b/>
          <w:bCs/>
          <w:sz w:val="20"/>
          <w:szCs w:val="20"/>
        </w:rPr>
        <w:t>1</w:t>
      </w:r>
      <w:r>
        <w:rPr>
          <w:i/>
          <w:iCs/>
          <w:sz w:val="20"/>
          <w:szCs w:val="20"/>
        </w:rPr>
        <w:t xml:space="preserve"> </w:t>
      </w:r>
      <w:r>
        <w:rPr>
          <w:sz w:val="20"/>
          <w:szCs w:val="20"/>
        </w:rPr>
        <w:t>Statistical description of forest patch data</w:t>
      </w:r>
      <w:bookmarkEnd w:id="84"/>
      <w:r>
        <w:rPr>
          <w:sz w:val="20"/>
          <w:szCs w:val="20"/>
        </w:rPr>
        <w:t>.</w:t>
      </w:r>
      <w:bookmarkEnd w:id="85"/>
      <w:bookmarkEnd w:id="86"/>
    </w:p>
    <w:p>
      <w:pPr>
        <w:ind w:firstLine="400"/>
        <w:jc w:val="left"/>
        <w:rPr>
          <w:sz w:val="20"/>
          <w:szCs w:val="20"/>
        </w:rPr>
      </w:pPr>
    </w:p>
    <w:tbl>
      <w:tblPr>
        <w:tblStyle w:val="16"/>
        <w:tblW w:w="874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0"/>
        <w:gridCol w:w="1009"/>
        <w:gridCol w:w="1064"/>
        <w:gridCol w:w="1159"/>
        <w:gridCol w:w="1104"/>
        <w:gridCol w:w="20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6" w:hRule="atLeast"/>
          <w:jc w:val="center"/>
        </w:trPr>
        <w:tc>
          <w:tcPr>
            <w:tcW w:w="2400" w:type="dxa"/>
            <w:tcBorders>
              <w:top w:val="single" w:color="auto" w:sz="12" w:space="0"/>
              <w:left w:val="nil"/>
              <w:bottom w:val="single" w:color="auto" w:sz="4" w:space="0"/>
              <w:right w:val="nil"/>
            </w:tcBorders>
            <w:vAlign w:val="bottom"/>
          </w:tcPr>
          <w:p>
            <w:pPr>
              <w:ind w:firstLine="0" w:firstLineChars="0"/>
              <w:jc w:val="left"/>
              <w:rPr>
                <w:sz w:val="20"/>
                <w:szCs w:val="20"/>
              </w:rPr>
            </w:pPr>
          </w:p>
        </w:tc>
        <w:tc>
          <w:tcPr>
            <w:tcW w:w="1009" w:type="dxa"/>
            <w:tcBorders>
              <w:top w:val="single" w:color="auto" w:sz="12" w:space="0"/>
              <w:left w:val="nil"/>
              <w:bottom w:val="single" w:color="auto" w:sz="4" w:space="0"/>
              <w:right w:val="nil"/>
            </w:tcBorders>
            <w:vAlign w:val="center"/>
          </w:tcPr>
          <w:p>
            <w:pPr>
              <w:ind w:firstLine="0" w:firstLineChars="0"/>
              <w:rPr>
                <w:sz w:val="20"/>
                <w:szCs w:val="20"/>
              </w:rPr>
            </w:pPr>
            <w:r>
              <w:rPr>
                <w:sz w:val="20"/>
                <w:szCs w:val="20"/>
              </w:rPr>
              <w:t>Number of patches</w:t>
            </w:r>
          </w:p>
        </w:tc>
        <w:tc>
          <w:tcPr>
            <w:tcW w:w="1064" w:type="dxa"/>
            <w:tcBorders>
              <w:top w:val="single" w:color="auto" w:sz="12" w:space="0"/>
              <w:left w:val="nil"/>
              <w:bottom w:val="single" w:color="auto" w:sz="4" w:space="0"/>
              <w:right w:val="nil"/>
            </w:tcBorders>
            <w:vAlign w:val="center"/>
          </w:tcPr>
          <w:p>
            <w:pPr>
              <w:ind w:firstLine="0" w:firstLineChars="0"/>
              <w:rPr>
                <w:sz w:val="20"/>
                <w:szCs w:val="20"/>
              </w:rPr>
            </w:pPr>
            <w:r>
              <w:rPr>
                <w:sz w:val="20"/>
                <w:szCs w:val="20"/>
              </w:rPr>
              <w:t>Minimum</w:t>
            </w:r>
          </w:p>
        </w:tc>
        <w:tc>
          <w:tcPr>
            <w:tcW w:w="1159" w:type="dxa"/>
            <w:tcBorders>
              <w:top w:val="single" w:color="auto" w:sz="12" w:space="0"/>
              <w:left w:val="nil"/>
              <w:bottom w:val="single" w:color="auto" w:sz="4" w:space="0"/>
              <w:right w:val="nil"/>
            </w:tcBorders>
            <w:vAlign w:val="center"/>
          </w:tcPr>
          <w:p>
            <w:pPr>
              <w:ind w:firstLine="0" w:firstLineChars="0"/>
              <w:rPr>
                <w:sz w:val="20"/>
                <w:szCs w:val="20"/>
              </w:rPr>
            </w:pPr>
            <w:r>
              <w:rPr>
                <w:sz w:val="20"/>
                <w:szCs w:val="20"/>
              </w:rPr>
              <w:t>Maximum</w:t>
            </w:r>
          </w:p>
        </w:tc>
        <w:tc>
          <w:tcPr>
            <w:tcW w:w="1104" w:type="dxa"/>
            <w:tcBorders>
              <w:top w:val="single" w:color="auto" w:sz="12" w:space="0"/>
              <w:left w:val="nil"/>
              <w:bottom w:val="single" w:color="auto" w:sz="4" w:space="0"/>
              <w:right w:val="nil"/>
            </w:tcBorders>
            <w:vAlign w:val="center"/>
          </w:tcPr>
          <w:p>
            <w:pPr>
              <w:ind w:firstLine="0" w:firstLineChars="0"/>
              <w:rPr>
                <w:sz w:val="20"/>
                <w:szCs w:val="20"/>
              </w:rPr>
            </w:pPr>
            <w:r>
              <w:rPr>
                <w:sz w:val="20"/>
                <w:szCs w:val="20"/>
              </w:rPr>
              <w:t>Mean</w:t>
            </w:r>
          </w:p>
        </w:tc>
        <w:tc>
          <w:tcPr>
            <w:tcW w:w="2005" w:type="dxa"/>
            <w:tcBorders>
              <w:top w:val="single" w:color="auto" w:sz="12" w:space="0"/>
              <w:left w:val="nil"/>
              <w:bottom w:val="single" w:color="auto" w:sz="4" w:space="0"/>
              <w:right w:val="nil"/>
            </w:tcBorders>
            <w:vAlign w:val="center"/>
          </w:tcPr>
          <w:p>
            <w:pPr>
              <w:ind w:firstLine="0" w:firstLineChars="0"/>
              <w:rPr>
                <w:sz w:val="20"/>
                <w:szCs w:val="20"/>
              </w:rPr>
            </w:pPr>
            <w:r>
              <w:rPr>
                <w:sz w:val="20"/>
                <w:szCs w:val="20"/>
              </w:rPr>
              <w:t>Standard deviation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2400" w:type="dxa"/>
            <w:tcBorders>
              <w:top w:val="single" w:color="auto" w:sz="4" w:space="0"/>
              <w:left w:val="nil"/>
              <w:bottom w:val="nil"/>
              <w:right w:val="nil"/>
            </w:tcBorders>
            <w:vAlign w:val="bottom"/>
          </w:tcPr>
          <w:p>
            <w:pPr>
              <w:ind w:firstLine="0" w:firstLineChars="0"/>
              <w:rPr>
                <w:sz w:val="20"/>
                <w:szCs w:val="20"/>
              </w:rPr>
            </w:pPr>
            <w:r>
              <w:rPr>
                <w:sz w:val="20"/>
                <w:szCs w:val="20"/>
              </w:rPr>
              <w:t>Age (years)</w:t>
            </w:r>
          </w:p>
        </w:tc>
        <w:tc>
          <w:tcPr>
            <w:tcW w:w="1009" w:type="dxa"/>
            <w:tcBorders>
              <w:top w:val="single" w:color="auto" w:sz="4" w:space="0"/>
              <w:left w:val="nil"/>
              <w:bottom w:val="nil"/>
              <w:right w:val="nil"/>
            </w:tcBorders>
            <w:vAlign w:val="bottom"/>
          </w:tcPr>
          <w:p>
            <w:pPr>
              <w:ind w:firstLine="0" w:firstLineChars="0"/>
              <w:rPr>
                <w:sz w:val="20"/>
                <w:szCs w:val="20"/>
              </w:rPr>
            </w:pPr>
            <w:r>
              <w:rPr>
                <w:sz w:val="20"/>
                <w:szCs w:val="20"/>
              </w:rPr>
              <w:t>2,980</w:t>
            </w:r>
          </w:p>
        </w:tc>
        <w:tc>
          <w:tcPr>
            <w:tcW w:w="1064" w:type="dxa"/>
            <w:tcBorders>
              <w:top w:val="single" w:color="auto" w:sz="4" w:space="0"/>
              <w:left w:val="nil"/>
              <w:bottom w:val="nil"/>
              <w:right w:val="nil"/>
            </w:tcBorders>
            <w:vAlign w:val="bottom"/>
          </w:tcPr>
          <w:p>
            <w:pPr>
              <w:ind w:firstLine="0" w:firstLineChars="0"/>
              <w:rPr>
                <w:sz w:val="20"/>
                <w:szCs w:val="20"/>
              </w:rPr>
            </w:pPr>
            <w:r>
              <w:rPr>
                <w:sz w:val="20"/>
                <w:szCs w:val="20"/>
              </w:rPr>
              <w:t>1</w:t>
            </w:r>
          </w:p>
        </w:tc>
        <w:tc>
          <w:tcPr>
            <w:tcW w:w="1159" w:type="dxa"/>
            <w:tcBorders>
              <w:top w:val="single" w:color="auto" w:sz="4" w:space="0"/>
              <w:left w:val="nil"/>
              <w:bottom w:val="nil"/>
              <w:right w:val="nil"/>
            </w:tcBorders>
            <w:vAlign w:val="bottom"/>
          </w:tcPr>
          <w:p>
            <w:pPr>
              <w:ind w:firstLine="0" w:firstLineChars="0"/>
              <w:rPr>
                <w:sz w:val="20"/>
                <w:szCs w:val="20"/>
              </w:rPr>
            </w:pPr>
            <w:r>
              <w:rPr>
                <w:sz w:val="20"/>
                <w:szCs w:val="20"/>
              </w:rPr>
              <w:t>51</w:t>
            </w:r>
          </w:p>
        </w:tc>
        <w:tc>
          <w:tcPr>
            <w:tcW w:w="1104" w:type="dxa"/>
            <w:tcBorders>
              <w:top w:val="single" w:color="auto" w:sz="4" w:space="0"/>
              <w:left w:val="nil"/>
              <w:bottom w:val="nil"/>
              <w:right w:val="nil"/>
            </w:tcBorders>
            <w:vAlign w:val="bottom"/>
          </w:tcPr>
          <w:p>
            <w:pPr>
              <w:ind w:firstLine="0" w:firstLineChars="0"/>
              <w:rPr>
                <w:sz w:val="20"/>
                <w:szCs w:val="20"/>
              </w:rPr>
            </w:pPr>
            <w:r>
              <w:rPr>
                <w:sz w:val="20"/>
                <w:szCs w:val="20"/>
              </w:rPr>
              <w:t>5.05</w:t>
            </w:r>
          </w:p>
        </w:tc>
        <w:tc>
          <w:tcPr>
            <w:tcW w:w="2005" w:type="dxa"/>
            <w:tcBorders>
              <w:top w:val="single" w:color="auto" w:sz="4" w:space="0"/>
              <w:left w:val="nil"/>
              <w:bottom w:val="nil"/>
              <w:right w:val="nil"/>
            </w:tcBorders>
            <w:vAlign w:val="bottom"/>
          </w:tcPr>
          <w:p>
            <w:pPr>
              <w:ind w:firstLine="0" w:firstLineChars="0"/>
              <w:rPr>
                <w:sz w:val="20"/>
                <w:szCs w:val="20"/>
              </w:rPr>
            </w:pPr>
            <w:r>
              <w:rPr>
                <w:sz w:val="20"/>
                <w:szCs w:val="20"/>
              </w:rPr>
              <w:t>2.42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8" w:hRule="atLeast"/>
          <w:jc w:val="center"/>
        </w:trPr>
        <w:tc>
          <w:tcPr>
            <w:tcW w:w="2400" w:type="dxa"/>
            <w:tcBorders>
              <w:top w:val="nil"/>
              <w:left w:val="nil"/>
              <w:bottom w:val="nil"/>
              <w:right w:val="nil"/>
            </w:tcBorders>
            <w:vAlign w:val="bottom"/>
          </w:tcPr>
          <w:p>
            <w:pPr>
              <w:ind w:firstLine="0" w:firstLineChars="0"/>
              <w:rPr>
                <w:sz w:val="20"/>
                <w:szCs w:val="20"/>
              </w:rPr>
            </w:pPr>
            <w:r>
              <w:rPr>
                <w:sz w:val="20"/>
                <w:szCs w:val="20"/>
              </w:rPr>
              <w:t>Stand density (stems/ha)</w:t>
            </w:r>
          </w:p>
        </w:tc>
        <w:tc>
          <w:tcPr>
            <w:tcW w:w="1009" w:type="dxa"/>
            <w:tcBorders>
              <w:top w:val="nil"/>
              <w:left w:val="nil"/>
              <w:bottom w:val="nil"/>
              <w:right w:val="nil"/>
            </w:tcBorders>
            <w:vAlign w:val="bottom"/>
          </w:tcPr>
          <w:p>
            <w:pPr>
              <w:ind w:firstLine="0" w:firstLineChars="0"/>
              <w:rPr>
                <w:sz w:val="20"/>
                <w:szCs w:val="20"/>
              </w:rPr>
            </w:pPr>
            <w:r>
              <w:rPr>
                <w:sz w:val="20"/>
                <w:szCs w:val="20"/>
              </w:rPr>
              <w:t>2,980</w:t>
            </w:r>
          </w:p>
        </w:tc>
        <w:tc>
          <w:tcPr>
            <w:tcW w:w="1064" w:type="dxa"/>
            <w:tcBorders>
              <w:top w:val="nil"/>
              <w:left w:val="nil"/>
              <w:bottom w:val="nil"/>
              <w:right w:val="nil"/>
            </w:tcBorders>
            <w:vAlign w:val="bottom"/>
          </w:tcPr>
          <w:p>
            <w:pPr>
              <w:ind w:firstLine="0" w:firstLineChars="0"/>
              <w:rPr>
                <w:sz w:val="20"/>
                <w:szCs w:val="20"/>
              </w:rPr>
            </w:pPr>
            <w:r>
              <w:rPr>
                <w:sz w:val="20"/>
                <w:szCs w:val="20"/>
              </w:rPr>
              <w:t>135</w:t>
            </w:r>
          </w:p>
        </w:tc>
        <w:tc>
          <w:tcPr>
            <w:tcW w:w="1159" w:type="dxa"/>
            <w:tcBorders>
              <w:top w:val="nil"/>
              <w:left w:val="nil"/>
              <w:bottom w:val="nil"/>
              <w:right w:val="nil"/>
            </w:tcBorders>
            <w:vAlign w:val="bottom"/>
          </w:tcPr>
          <w:p>
            <w:pPr>
              <w:ind w:firstLine="0" w:firstLineChars="0"/>
              <w:rPr>
                <w:sz w:val="20"/>
                <w:szCs w:val="20"/>
              </w:rPr>
            </w:pPr>
            <w:r>
              <w:rPr>
                <w:sz w:val="20"/>
                <w:szCs w:val="20"/>
              </w:rPr>
              <w:t>3450</w:t>
            </w:r>
          </w:p>
        </w:tc>
        <w:tc>
          <w:tcPr>
            <w:tcW w:w="1104" w:type="dxa"/>
            <w:tcBorders>
              <w:top w:val="nil"/>
              <w:left w:val="nil"/>
              <w:bottom w:val="nil"/>
              <w:right w:val="nil"/>
            </w:tcBorders>
            <w:vAlign w:val="bottom"/>
          </w:tcPr>
          <w:p>
            <w:pPr>
              <w:ind w:firstLine="0" w:firstLineChars="0"/>
              <w:rPr>
                <w:sz w:val="20"/>
                <w:szCs w:val="20"/>
              </w:rPr>
            </w:pPr>
            <w:r>
              <w:rPr>
                <w:sz w:val="20"/>
                <w:szCs w:val="20"/>
              </w:rPr>
              <w:t>1377.63</w:t>
            </w:r>
          </w:p>
        </w:tc>
        <w:tc>
          <w:tcPr>
            <w:tcW w:w="2005" w:type="dxa"/>
            <w:tcBorders>
              <w:top w:val="nil"/>
              <w:left w:val="nil"/>
              <w:bottom w:val="nil"/>
              <w:right w:val="nil"/>
            </w:tcBorders>
            <w:vAlign w:val="bottom"/>
          </w:tcPr>
          <w:p>
            <w:pPr>
              <w:ind w:firstLine="0" w:firstLineChars="0"/>
              <w:rPr>
                <w:sz w:val="20"/>
                <w:szCs w:val="20"/>
              </w:rPr>
            </w:pPr>
            <w:r>
              <w:rPr>
                <w:sz w:val="20"/>
                <w:szCs w:val="20"/>
              </w:rPr>
              <w:t>241.10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9" w:hRule="atLeast"/>
          <w:jc w:val="center"/>
        </w:trPr>
        <w:tc>
          <w:tcPr>
            <w:tcW w:w="2400" w:type="dxa"/>
            <w:tcBorders>
              <w:top w:val="nil"/>
              <w:left w:val="nil"/>
              <w:bottom w:val="nil"/>
              <w:right w:val="nil"/>
            </w:tcBorders>
            <w:vAlign w:val="bottom"/>
          </w:tcPr>
          <w:p>
            <w:pPr>
              <w:ind w:firstLine="0" w:firstLineChars="0"/>
              <w:rPr>
                <w:sz w:val="20"/>
                <w:szCs w:val="20"/>
              </w:rPr>
            </w:pPr>
            <w:r>
              <w:rPr>
                <w:sz w:val="20"/>
                <w:szCs w:val="20"/>
              </w:rPr>
              <w:t>DBH (cm)</w:t>
            </w:r>
          </w:p>
        </w:tc>
        <w:tc>
          <w:tcPr>
            <w:tcW w:w="1009" w:type="dxa"/>
            <w:tcBorders>
              <w:top w:val="nil"/>
              <w:left w:val="nil"/>
              <w:bottom w:val="nil"/>
              <w:right w:val="nil"/>
            </w:tcBorders>
            <w:vAlign w:val="bottom"/>
          </w:tcPr>
          <w:p>
            <w:pPr>
              <w:ind w:firstLine="0" w:firstLineChars="0"/>
              <w:rPr>
                <w:sz w:val="20"/>
                <w:szCs w:val="20"/>
              </w:rPr>
            </w:pPr>
            <w:r>
              <w:rPr>
                <w:sz w:val="20"/>
                <w:szCs w:val="20"/>
              </w:rPr>
              <w:t>2,980</w:t>
            </w:r>
          </w:p>
        </w:tc>
        <w:tc>
          <w:tcPr>
            <w:tcW w:w="1064" w:type="dxa"/>
            <w:tcBorders>
              <w:top w:val="nil"/>
              <w:left w:val="nil"/>
              <w:bottom w:val="nil"/>
              <w:right w:val="nil"/>
            </w:tcBorders>
            <w:vAlign w:val="bottom"/>
          </w:tcPr>
          <w:p>
            <w:pPr>
              <w:ind w:firstLine="0" w:firstLineChars="0"/>
              <w:rPr>
                <w:sz w:val="20"/>
                <w:szCs w:val="20"/>
              </w:rPr>
            </w:pPr>
            <w:r>
              <w:rPr>
                <w:sz w:val="20"/>
                <w:szCs w:val="20"/>
              </w:rPr>
              <w:t>5.0</w:t>
            </w:r>
          </w:p>
        </w:tc>
        <w:tc>
          <w:tcPr>
            <w:tcW w:w="1159" w:type="dxa"/>
            <w:tcBorders>
              <w:top w:val="nil"/>
              <w:left w:val="nil"/>
              <w:bottom w:val="nil"/>
              <w:right w:val="nil"/>
            </w:tcBorders>
            <w:vAlign w:val="bottom"/>
          </w:tcPr>
          <w:p>
            <w:pPr>
              <w:ind w:firstLine="0" w:firstLineChars="0"/>
              <w:rPr>
                <w:sz w:val="20"/>
                <w:szCs w:val="20"/>
              </w:rPr>
            </w:pPr>
            <w:r>
              <w:rPr>
                <w:sz w:val="20"/>
                <w:szCs w:val="20"/>
              </w:rPr>
              <w:t>60.0</w:t>
            </w:r>
          </w:p>
        </w:tc>
        <w:tc>
          <w:tcPr>
            <w:tcW w:w="1104" w:type="dxa"/>
            <w:tcBorders>
              <w:top w:val="nil"/>
              <w:left w:val="nil"/>
              <w:bottom w:val="nil"/>
              <w:right w:val="nil"/>
            </w:tcBorders>
            <w:vAlign w:val="bottom"/>
          </w:tcPr>
          <w:p>
            <w:pPr>
              <w:ind w:firstLine="0" w:firstLineChars="0"/>
              <w:rPr>
                <w:sz w:val="20"/>
                <w:szCs w:val="20"/>
              </w:rPr>
            </w:pPr>
            <w:r>
              <w:rPr>
                <w:sz w:val="20"/>
                <w:szCs w:val="20"/>
              </w:rPr>
              <w:t>12.30</w:t>
            </w:r>
          </w:p>
        </w:tc>
        <w:tc>
          <w:tcPr>
            <w:tcW w:w="2005" w:type="dxa"/>
            <w:tcBorders>
              <w:top w:val="nil"/>
              <w:left w:val="nil"/>
              <w:bottom w:val="nil"/>
              <w:right w:val="nil"/>
            </w:tcBorders>
            <w:vAlign w:val="bottom"/>
          </w:tcPr>
          <w:p>
            <w:pPr>
              <w:ind w:firstLine="0" w:firstLineChars="0"/>
              <w:rPr>
                <w:sz w:val="20"/>
                <w:szCs w:val="20"/>
              </w:rPr>
            </w:pPr>
            <w:r>
              <w:rPr>
                <w:sz w:val="20"/>
                <w:szCs w:val="20"/>
              </w:rPr>
              <w:t>3.55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7" w:hRule="atLeast"/>
          <w:jc w:val="center"/>
        </w:trPr>
        <w:tc>
          <w:tcPr>
            <w:tcW w:w="2400" w:type="dxa"/>
            <w:tcBorders>
              <w:top w:val="nil"/>
              <w:left w:val="nil"/>
              <w:bottom w:val="single" w:color="auto" w:sz="12" w:space="0"/>
              <w:right w:val="nil"/>
            </w:tcBorders>
            <w:vAlign w:val="bottom"/>
          </w:tcPr>
          <w:p>
            <w:pPr>
              <w:ind w:firstLine="0" w:firstLineChars="0"/>
              <w:rPr>
                <w:sz w:val="20"/>
                <w:szCs w:val="20"/>
              </w:rPr>
            </w:pPr>
            <w:r>
              <w:rPr>
                <w:kern w:val="0"/>
                <w:sz w:val="20"/>
                <w:szCs w:val="20"/>
              </w:rPr>
              <w:t xml:space="preserve">Tree height </w:t>
            </w:r>
            <w:r>
              <w:rPr>
                <w:sz w:val="20"/>
                <w:szCs w:val="20"/>
              </w:rPr>
              <w:t>(m)</w:t>
            </w:r>
          </w:p>
        </w:tc>
        <w:tc>
          <w:tcPr>
            <w:tcW w:w="1009" w:type="dxa"/>
            <w:tcBorders>
              <w:top w:val="nil"/>
              <w:left w:val="nil"/>
              <w:bottom w:val="single" w:color="auto" w:sz="12" w:space="0"/>
              <w:right w:val="nil"/>
            </w:tcBorders>
            <w:vAlign w:val="bottom"/>
          </w:tcPr>
          <w:p>
            <w:pPr>
              <w:ind w:firstLine="0" w:firstLineChars="0"/>
              <w:rPr>
                <w:sz w:val="20"/>
                <w:szCs w:val="20"/>
              </w:rPr>
            </w:pPr>
            <w:r>
              <w:rPr>
                <w:sz w:val="20"/>
                <w:szCs w:val="20"/>
              </w:rPr>
              <w:t>2,980</w:t>
            </w:r>
          </w:p>
        </w:tc>
        <w:tc>
          <w:tcPr>
            <w:tcW w:w="1064" w:type="dxa"/>
            <w:tcBorders>
              <w:top w:val="nil"/>
              <w:left w:val="nil"/>
              <w:bottom w:val="single" w:color="auto" w:sz="12" w:space="0"/>
              <w:right w:val="nil"/>
            </w:tcBorders>
            <w:vAlign w:val="bottom"/>
          </w:tcPr>
          <w:p>
            <w:pPr>
              <w:ind w:firstLine="0" w:firstLineChars="0"/>
              <w:rPr>
                <w:sz w:val="20"/>
                <w:szCs w:val="20"/>
              </w:rPr>
            </w:pPr>
            <w:r>
              <w:rPr>
                <w:sz w:val="20"/>
                <w:szCs w:val="20"/>
              </w:rPr>
              <w:t>1.5</w:t>
            </w:r>
          </w:p>
        </w:tc>
        <w:tc>
          <w:tcPr>
            <w:tcW w:w="1159" w:type="dxa"/>
            <w:tcBorders>
              <w:top w:val="nil"/>
              <w:left w:val="nil"/>
              <w:bottom w:val="single" w:color="auto" w:sz="12" w:space="0"/>
              <w:right w:val="nil"/>
            </w:tcBorders>
            <w:vAlign w:val="bottom"/>
          </w:tcPr>
          <w:p>
            <w:pPr>
              <w:ind w:firstLine="0" w:firstLineChars="0"/>
              <w:rPr>
                <w:sz w:val="20"/>
                <w:szCs w:val="20"/>
              </w:rPr>
            </w:pPr>
            <w:r>
              <w:rPr>
                <w:sz w:val="20"/>
                <w:szCs w:val="20"/>
              </w:rPr>
              <w:t>48.50</w:t>
            </w:r>
          </w:p>
        </w:tc>
        <w:tc>
          <w:tcPr>
            <w:tcW w:w="1104" w:type="dxa"/>
            <w:tcBorders>
              <w:top w:val="nil"/>
              <w:left w:val="nil"/>
              <w:bottom w:val="single" w:color="auto" w:sz="12" w:space="0"/>
              <w:right w:val="nil"/>
            </w:tcBorders>
            <w:vAlign w:val="bottom"/>
          </w:tcPr>
          <w:p>
            <w:pPr>
              <w:ind w:firstLine="0" w:firstLineChars="0"/>
              <w:rPr>
                <w:sz w:val="20"/>
                <w:szCs w:val="20"/>
              </w:rPr>
            </w:pPr>
            <w:r>
              <w:rPr>
                <w:sz w:val="20"/>
                <w:szCs w:val="20"/>
              </w:rPr>
              <w:t>13.40</w:t>
            </w:r>
          </w:p>
        </w:tc>
        <w:tc>
          <w:tcPr>
            <w:tcW w:w="2005" w:type="dxa"/>
            <w:tcBorders>
              <w:top w:val="nil"/>
              <w:left w:val="nil"/>
              <w:bottom w:val="single" w:color="auto" w:sz="12" w:space="0"/>
              <w:right w:val="nil"/>
            </w:tcBorders>
            <w:vAlign w:val="bottom"/>
          </w:tcPr>
          <w:p>
            <w:pPr>
              <w:ind w:firstLine="0" w:firstLineChars="0"/>
              <w:rPr>
                <w:sz w:val="20"/>
                <w:szCs w:val="20"/>
              </w:rPr>
            </w:pPr>
            <w:r>
              <w:rPr>
                <w:sz w:val="20"/>
                <w:szCs w:val="20"/>
              </w:rPr>
              <w:t>3.99</w:t>
            </w:r>
          </w:p>
        </w:tc>
      </w:tr>
    </w:tbl>
    <w:p>
      <w:pPr>
        <w:pStyle w:val="48"/>
        <w:spacing w:line="360" w:lineRule="auto"/>
        <w:ind w:firstLine="0" w:firstLineChars="0"/>
        <w:rPr>
          <w:sz w:val="20"/>
        </w:rPr>
      </w:pPr>
      <w:r>
        <w:rPr>
          <w:b/>
          <w:bCs/>
          <w:sz w:val="20"/>
        </w:rPr>
        <w:t xml:space="preserve">Note: </w:t>
      </w:r>
      <w:r>
        <w:rPr>
          <w:sz w:val="20"/>
        </w:rPr>
        <w:t>Of the 2,980 forest patches, for which the maximum age was 51 years, only 24 forest patches were older than 10 years, all of which were identified as mature forest.</w:t>
      </w:r>
    </w:p>
    <w:p>
      <w:pPr>
        <w:pStyle w:val="48"/>
        <w:spacing w:line="360" w:lineRule="auto"/>
        <w:ind w:firstLine="0" w:firstLineChars="0"/>
        <w:rPr>
          <w:sz w:val="20"/>
        </w:rPr>
      </w:pPr>
    </w:p>
    <w:p>
      <w:pPr>
        <w:ind w:firstLine="0" w:firstLineChars="0"/>
        <w:jc w:val="center"/>
        <w:outlineLvl w:val="1"/>
        <w:rPr>
          <w:sz w:val="20"/>
          <w:szCs w:val="20"/>
        </w:rPr>
      </w:pPr>
      <w:bookmarkStart w:id="87" w:name="_Toc520101994"/>
      <w:bookmarkStart w:id="88" w:name="_Toc506920674"/>
      <w:bookmarkStart w:id="89" w:name="_Toc22330"/>
      <w:r>
        <w:rPr>
          <w:b/>
          <w:bCs/>
          <w:sz w:val="20"/>
          <w:szCs w:val="20"/>
        </w:rPr>
        <w:t xml:space="preserve">Table </w:t>
      </w:r>
      <w:r>
        <w:rPr>
          <w:rFonts w:hint="eastAsia"/>
          <w:b/>
          <w:bCs/>
          <w:sz w:val="20"/>
          <w:szCs w:val="20"/>
        </w:rPr>
        <w:t>B.</w:t>
      </w:r>
      <w:r>
        <w:rPr>
          <w:b/>
          <w:bCs/>
          <w:sz w:val="20"/>
          <w:szCs w:val="20"/>
        </w:rPr>
        <w:t xml:space="preserve">2 </w:t>
      </w:r>
      <w:r>
        <w:rPr>
          <w:sz w:val="20"/>
          <w:szCs w:val="20"/>
        </w:rPr>
        <w:t>Tree structures for calculating the biomass of the 90 harvested trees.</w:t>
      </w:r>
      <w:bookmarkEnd w:id="87"/>
      <w:bookmarkEnd w:id="88"/>
      <w:bookmarkEnd w:id="89"/>
    </w:p>
    <w:p>
      <w:pPr>
        <w:ind w:firstLine="400"/>
        <w:jc w:val="left"/>
        <w:rPr>
          <w:sz w:val="20"/>
          <w:szCs w:val="20"/>
        </w:rPr>
      </w:pPr>
    </w:p>
    <w:tbl>
      <w:tblPr>
        <w:tblStyle w:val="16"/>
        <w:tblW w:w="8878" w:type="dxa"/>
        <w:tblInd w:w="139" w:type="dxa"/>
        <w:tblLayout w:type="fixed"/>
        <w:tblCellMar>
          <w:top w:w="0" w:type="dxa"/>
          <w:left w:w="0" w:type="dxa"/>
          <w:bottom w:w="0" w:type="dxa"/>
          <w:right w:w="0" w:type="dxa"/>
        </w:tblCellMar>
      </w:tblPr>
      <w:tblGrid>
        <w:gridCol w:w="619"/>
        <w:gridCol w:w="681"/>
        <w:gridCol w:w="957"/>
        <w:gridCol w:w="2146"/>
        <w:gridCol w:w="240"/>
        <w:gridCol w:w="568"/>
        <w:gridCol w:w="727"/>
        <w:gridCol w:w="854"/>
        <w:gridCol w:w="2086"/>
      </w:tblGrid>
      <w:tr>
        <w:tblPrEx>
          <w:tblLayout w:type="fixed"/>
          <w:tblCellMar>
            <w:top w:w="0" w:type="dxa"/>
            <w:left w:w="0" w:type="dxa"/>
            <w:bottom w:w="0" w:type="dxa"/>
            <w:right w:w="0" w:type="dxa"/>
          </w:tblCellMar>
        </w:tblPrEx>
        <w:trPr>
          <w:trHeight w:val="297" w:hRule="atLeast"/>
        </w:trPr>
        <w:tc>
          <w:tcPr>
            <w:tcW w:w="619"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Age</w:t>
            </w:r>
          </w:p>
        </w:tc>
        <w:tc>
          <w:tcPr>
            <w:tcW w:w="681"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DBH</w:t>
            </w:r>
          </w:p>
        </w:tc>
        <w:tc>
          <w:tcPr>
            <w:tcW w:w="957"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Height</w:t>
            </w:r>
          </w:p>
        </w:tc>
        <w:tc>
          <w:tcPr>
            <w:tcW w:w="2146"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Individual biomass (kg)</w:t>
            </w:r>
          </w:p>
        </w:tc>
        <w:tc>
          <w:tcPr>
            <w:tcW w:w="240"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p>
        </w:tc>
        <w:tc>
          <w:tcPr>
            <w:tcW w:w="568"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color w:val="0D0D0D"/>
                <w:sz w:val="20"/>
                <w:szCs w:val="20"/>
              </w:rPr>
              <w:t>Age</w:t>
            </w:r>
          </w:p>
        </w:tc>
        <w:tc>
          <w:tcPr>
            <w:tcW w:w="727"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color w:val="0D0D0D"/>
                <w:sz w:val="20"/>
                <w:szCs w:val="20"/>
              </w:rPr>
              <w:t>DBH</w:t>
            </w:r>
          </w:p>
        </w:tc>
        <w:tc>
          <w:tcPr>
            <w:tcW w:w="854"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color w:val="0D0D0D"/>
                <w:sz w:val="20"/>
                <w:szCs w:val="20"/>
              </w:rPr>
              <w:t>Height</w:t>
            </w:r>
          </w:p>
        </w:tc>
        <w:tc>
          <w:tcPr>
            <w:tcW w:w="2086" w:type="dxa"/>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Individual biomass (kg)</w:t>
            </w:r>
          </w:p>
        </w:tc>
      </w:tr>
      <w:tr>
        <w:tblPrEx>
          <w:tblLayout w:type="fixed"/>
          <w:tblCellMar>
            <w:top w:w="0" w:type="dxa"/>
            <w:left w:w="0" w:type="dxa"/>
            <w:bottom w:w="0" w:type="dxa"/>
            <w:right w:w="0" w:type="dxa"/>
          </w:tblCellMar>
        </w:tblPrEx>
        <w:trPr>
          <w:trHeight w:val="90" w:hRule="atLeast"/>
        </w:trPr>
        <w:tc>
          <w:tcPr>
            <w:tcW w:w="619"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(yr)</w:t>
            </w: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(cm)</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(m)</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rFonts w:hint="eastAsia"/>
                <w:color w:val="0D0D0D"/>
                <w:sz w:val="20"/>
                <w:szCs w:val="20"/>
              </w:rPr>
              <w:t>Aboveground</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p>
        </w:tc>
        <w:tc>
          <w:tcPr>
            <w:tcW w:w="568"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(yr)</w:t>
            </w: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(cm)</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color w:val="0D0D0D"/>
                <w:sz w:val="20"/>
                <w:szCs w:val="20"/>
              </w:rPr>
              <w:t>(m)</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color w:val="0D0D0D"/>
                <w:sz w:val="20"/>
                <w:szCs w:val="20"/>
              </w:rPr>
            </w:pPr>
            <w:r>
              <w:rPr>
                <w:rFonts w:hint="eastAsia"/>
                <w:color w:val="0D0D0D"/>
                <w:sz w:val="20"/>
                <w:szCs w:val="20"/>
              </w:rPr>
              <w:t>Aboveground</w:t>
            </w:r>
          </w:p>
        </w:tc>
      </w:tr>
      <w:tr>
        <w:tblPrEx>
          <w:tblLayout w:type="fixed"/>
          <w:tblCellMar>
            <w:top w:w="0" w:type="dxa"/>
            <w:left w:w="0" w:type="dxa"/>
            <w:bottom w:w="0" w:type="dxa"/>
            <w:right w:w="0" w:type="dxa"/>
          </w:tblCellMar>
        </w:tblPrEx>
        <w:trPr>
          <w:trHeight w:val="125" w:hRule="atLeast"/>
        </w:trPr>
        <w:tc>
          <w:tcPr>
            <w:tcW w:w="619"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rPr>
                <w:sz w:val="20"/>
                <w:szCs w:val="20"/>
              </w:rPr>
            </w:pPr>
            <w:r>
              <w:rPr>
                <w:sz w:val="20"/>
                <w:szCs w:val="20"/>
              </w:rPr>
              <w:t>1</w:t>
            </w: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3.3</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4.3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1.9376</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rPr>
                <w:rFonts w:eastAsia="黑体"/>
                <w:color w:val="000000"/>
                <w:kern w:val="0"/>
                <w:sz w:val="20"/>
                <w:szCs w:val="20"/>
              </w:rPr>
            </w:pPr>
            <w:r>
              <w:rPr>
                <w:sz w:val="20"/>
                <w:szCs w:val="20"/>
              </w:rPr>
              <w:t>6</w:t>
            </w: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82.2273</w:t>
            </w:r>
          </w:p>
        </w:tc>
      </w:tr>
      <w:tr>
        <w:tblPrEx>
          <w:tblLayout w:type="fixed"/>
          <w:tblCellMar>
            <w:top w:w="0" w:type="dxa"/>
            <w:left w:w="0" w:type="dxa"/>
            <w:bottom w:w="0" w:type="dxa"/>
            <w:right w:w="0" w:type="dxa"/>
          </w:tblCellMar>
        </w:tblPrEx>
        <w:trPr>
          <w:trHeight w:val="206"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w:t>
            </w:r>
            <w:r>
              <w:rPr>
                <w:rFonts w:hint="eastAsia"/>
                <w:sz w:val="20"/>
                <w:szCs w:val="20"/>
              </w:rPr>
              <w:t>.0</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4</w:t>
            </w:r>
            <w:r>
              <w:rPr>
                <w:rFonts w:hint="eastAsia"/>
                <w:sz w:val="20"/>
                <w:szCs w:val="20"/>
              </w:rPr>
              <w:t>.0</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2.2500</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15.3</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99.3969</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4.3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1.8514</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21.1</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102.5718</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2.1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1.1061</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15.3</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19.9</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97.7377</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2.1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3.4</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1.0697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21.2</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93.3897</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2.4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1.3143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14.5</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89.4676</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4.6</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2.2976</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14.6</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19.4</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81.7034</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3.3</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4.7</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2.3782</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19.4</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81.8693</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3.3</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4.5</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2.0494</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14.6</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20.1</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87.1974</w:t>
            </w:r>
          </w:p>
        </w:tc>
      </w:tr>
      <w:tr>
        <w:tblPrEx>
          <w:tblLayout w:type="fixed"/>
          <w:tblCellMar>
            <w:top w:w="0" w:type="dxa"/>
            <w:left w:w="0" w:type="dxa"/>
            <w:bottom w:w="0" w:type="dxa"/>
            <w:right w:w="0" w:type="dxa"/>
          </w:tblCellMar>
        </w:tblPrEx>
        <w:trPr>
          <w:trHeight w:val="270" w:hRule="atLeast"/>
        </w:trPr>
        <w:tc>
          <w:tcPr>
            <w:tcW w:w="619"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rPr>
                <w:sz w:val="20"/>
                <w:szCs w:val="20"/>
              </w:rPr>
            </w:pPr>
            <w:r>
              <w:rPr>
                <w:rFonts w:hint="eastAsia"/>
                <w:sz w:val="20"/>
                <w:szCs w:val="20"/>
              </w:rPr>
              <w:t>2</w:t>
            </w: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7.6</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10.1</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14.4861</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rPr>
                <w:rFonts w:eastAsia="黑体"/>
                <w:color w:val="000000"/>
                <w:kern w:val="0"/>
                <w:sz w:val="20"/>
                <w:szCs w:val="20"/>
              </w:rPr>
            </w:pPr>
            <w:r>
              <w:rPr>
                <w:sz w:val="20"/>
                <w:szCs w:val="20"/>
              </w:rPr>
              <w:t>7</w:t>
            </w: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18</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20.4</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119.9316</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8</w:t>
            </w:r>
            <w:r>
              <w:rPr>
                <w:rFonts w:hint="eastAsia"/>
                <w:sz w:val="20"/>
                <w:szCs w:val="20"/>
              </w:rPr>
              <w:t>.0</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8.5</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14.7833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17.8</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106.3167</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8.1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9.9</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14.3030</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18</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20.4</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143.0096</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10.5</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12.1682</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16.7</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w:t>
            </w:r>
            <w:r>
              <w:rPr>
                <w:rFonts w:hint="eastAsia"/>
                <w:sz w:val="20"/>
                <w:szCs w:val="20"/>
              </w:rPr>
              <w:t>.0</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113.6738</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w:t>
            </w:r>
            <w:r>
              <w:rPr>
                <w:rFonts w:hint="eastAsia"/>
                <w:sz w:val="20"/>
                <w:szCs w:val="20"/>
              </w:rPr>
              <w:t>.0</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10.4</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11.7154</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16.6</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20.9</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99.6045</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w:t>
            </w:r>
            <w:r>
              <w:rPr>
                <w:rFonts w:hint="eastAsia"/>
                <w:sz w:val="20"/>
                <w:szCs w:val="20"/>
              </w:rPr>
              <w:t>.0</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10.8</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11.1324</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16.4</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21.4</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98.7499</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9.2</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12.3033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16.9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19.8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102.7874</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9.5</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11.0665</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16.9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20.2</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97.2996</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w:t>
            </w:r>
            <w:r>
              <w:rPr>
                <w:rFonts w:hint="eastAsia"/>
                <w:sz w:val="20"/>
                <w:szCs w:val="20"/>
              </w:rPr>
              <w:t>.0</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8.1</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10.2483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15.6</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r>
              <w:rPr>
                <w:sz w:val="20"/>
                <w:szCs w:val="20"/>
              </w:rPr>
              <w:t>20.3</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89.5590</w:t>
            </w:r>
          </w:p>
        </w:tc>
      </w:tr>
      <w:tr>
        <w:tblPrEx>
          <w:tblLayout w:type="fixed"/>
          <w:tblCellMar>
            <w:top w:w="0" w:type="dxa"/>
            <w:left w:w="0" w:type="dxa"/>
            <w:bottom w:w="0" w:type="dxa"/>
            <w:right w:w="0" w:type="dxa"/>
          </w:tblCellMar>
        </w:tblPrEx>
        <w:trPr>
          <w:trHeight w:val="270" w:hRule="atLeast"/>
        </w:trPr>
        <w:tc>
          <w:tcPr>
            <w:tcW w:w="619"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rPr>
                <w:sz w:val="20"/>
                <w:szCs w:val="20"/>
              </w:rPr>
            </w:pPr>
            <w:r>
              <w:rPr>
                <w:rFonts w:hint="eastAsia"/>
                <w:sz w:val="20"/>
                <w:szCs w:val="20"/>
              </w:rPr>
              <w:t>3</w:t>
            </w: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5.5350</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r>
              <w:rPr>
                <w:sz w:val="20"/>
                <w:szCs w:val="20"/>
              </w:rPr>
              <w:t>8</w:t>
            </w: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14.3</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21.1</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89.6489</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w:t>
            </w:r>
            <w:r>
              <w:rPr>
                <w:rFonts w:hint="eastAsia"/>
                <w:sz w:val="20"/>
                <w:szCs w:val="20"/>
              </w:rPr>
              <w:t>.0</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6.9</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8.8532</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14.5</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19.8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72.6971</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6.8</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7.5987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14</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19.2</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90.9861</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7.6</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6.3156</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16.4</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19.7</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99.4468</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7.9</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9.5706</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16.4</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20.1</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97.8657</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7.7</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9.7457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17.2</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21.2</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112.4650</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6.9</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6.4039</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14</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17.7</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63.5059</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9.4</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9.2803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15</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20.3</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81.3824</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5.4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6.6</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5.7853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14.9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19.3</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84.1050</w:t>
            </w:r>
          </w:p>
        </w:tc>
      </w:tr>
      <w:tr>
        <w:tblPrEx>
          <w:tblLayout w:type="fixed"/>
          <w:tblCellMar>
            <w:top w:w="0" w:type="dxa"/>
            <w:left w:w="0" w:type="dxa"/>
            <w:bottom w:w="0" w:type="dxa"/>
            <w:right w:w="0" w:type="dxa"/>
          </w:tblCellMar>
        </w:tblPrEx>
        <w:trPr>
          <w:trHeight w:val="270" w:hRule="atLeast"/>
        </w:trPr>
        <w:tc>
          <w:tcPr>
            <w:tcW w:w="619"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rPr>
                <w:sz w:val="20"/>
                <w:szCs w:val="20"/>
              </w:rPr>
            </w:pPr>
            <w:r>
              <w:rPr>
                <w:sz w:val="20"/>
                <w:szCs w:val="20"/>
              </w:rPr>
              <w:t>4</w:t>
            </w: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11.1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18.6</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36.7169</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restart"/>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r>
              <w:rPr>
                <w:sz w:val="20"/>
                <w:szCs w:val="20"/>
              </w:rPr>
              <w:t>9</w:t>
            </w: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16.9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25.5</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110.3010</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12.1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17.3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50.7412</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17.2</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25.1</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146.4738</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11.8</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17.3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44.8078</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17.5</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24.5</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130.5710</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8.9</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11.7</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16.5647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16.1</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23.5</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117.4427</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9.2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17.4</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27.9658</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15.8</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22.9</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106.7083</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8.8</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15.2</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24.5316</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15.9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23.3</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112.0993</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17.9</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56.0009</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18.4</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26.6</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168.4229</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18.2</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58.7273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18.4</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24.7</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144.5210</w:t>
            </w:r>
          </w:p>
        </w:tc>
      </w:tr>
      <w:tr>
        <w:tblPrEx>
          <w:tblLayout w:type="fixed"/>
          <w:tblCellMar>
            <w:top w:w="0" w:type="dxa"/>
            <w:left w:w="0" w:type="dxa"/>
            <w:bottom w:w="0" w:type="dxa"/>
            <w:right w:w="0" w:type="dxa"/>
          </w:tblCellMar>
        </w:tblPrEx>
        <w:trPr>
          <w:trHeight w:val="270" w:hRule="atLeast"/>
        </w:trPr>
        <w:tc>
          <w:tcPr>
            <w:tcW w:w="619" w:type="dxa"/>
            <w:vMerge w:val="continue"/>
            <w:tcBorders>
              <w:top w:val="nil"/>
              <w:left w:val="nil"/>
              <w:bottom w:val="nil"/>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12.4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17.8</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51.5655</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nil"/>
              <w:left w:val="nil"/>
              <w:bottom w:val="nil"/>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18.3</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26</w:t>
            </w:r>
            <w:r>
              <w:rPr>
                <w:rFonts w:hint="eastAsia"/>
                <w:sz w:val="20"/>
                <w:szCs w:val="20"/>
              </w:rPr>
              <w:t>.0</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167.0830</w:t>
            </w:r>
          </w:p>
        </w:tc>
      </w:tr>
      <w:tr>
        <w:tblPrEx>
          <w:tblLayout w:type="fixed"/>
          <w:tblCellMar>
            <w:top w:w="0" w:type="dxa"/>
            <w:left w:w="0" w:type="dxa"/>
            <w:bottom w:w="0" w:type="dxa"/>
            <w:right w:w="0" w:type="dxa"/>
          </w:tblCellMar>
        </w:tblPrEx>
        <w:trPr>
          <w:trHeight w:val="270" w:hRule="atLeast"/>
        </w:trPr>
        <w:tc>
          <w:tcPr>
            <w:tcW w:w="619" w:type="dxa"/>
            <w:vMerge w:val="restart"/>
            <w:tcBorders>
              <w:top w:val="nil"/>
              <w:left w:val="nil"/>
              <w:bottom w:val="single" w:color="auto" w:sz="4" w:space="0"/>
              <w:right w:val="nil"/>
            </w:tcBorders>
            <w:shd w:val="clear" w:color="000000" w:fill="FFFFFF"/>
            <w:tcMar>
              <w:top w:w="12" w:type="dxa"/>
              <w:left w:w="12" w:type="dxa"/>
              <w:bottom w:w="0" w:type="dxa"/>
              <w:right w:w="12" w:type="dxa"/>
            </w:tcMar>
          </w:tcPr>
          <w:p>
            <w:pPr>
              <w:spacing w:line="240" w:lineRule="auto"/>
              <w:ind w:firstLine="0" w:firstLineChars="0"/>
              <w:rPr>
                <w:sz w:val="20"/>
                <w:szCs w:val="20"/>
              </w:rPr>
            </w:pPr>
            <w:r>
              <w:rPr>
                <w:sz w:val="20"/>
                <w:szCs w:val="20"/>
              </w:rPr>
              <w:t>5</w:t>
            </w: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13.2</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19.7</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62.9911</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restart"/>
            <w:tcBorders>
              <w:top w:val="nil"/>
              <w:left w:val="nil"/>
              <w:bottom w:val="single" w:color="auto" w:sz="4" w:space="0"/>
              <w:right w:val="nil"/>
            </w:tcBorders>
            <w:shd w:val="clear" w:color="000000" w:fill="FFFFFF"/>
            <w:tcMar>
              <w:top w:w="12" w:type="dxa"/>
              <w:left w:w="12" w:type="dxa"/>
              <w:bottom w:w="0" w:type="dxa"/>
              <w:right w:w="12" w:type="dxa"/>
            </w:tcMar>
          </w:tcPr>
          <w:p>
            <w:pPr>
              <w:spacing w:line="240" w:lineRule="auto"/>
              <w:ind w:firstLine="0" w:firstLineChars="0"/>
              <w:jc w:val="left"/>
              <w:rPr>
                <w:rFonts w:eastAsia="黑体"/>
                <w:color w:val="000000"/>
                <w:kern w:val="0"/>
                <w:sz w:val="20"/>
                <w:szCs w:val="20"/>
              </w:rPr>
            </w:pPr>
            <w:r>
              <w:rPr>
                <w:sz w:val="20"/>
                <w:szCs w:val="20"/>
              </w:rPr>
              <w:t>10</w:t>
            </w: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18.2</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27</w:t>
            </w:r>
            <w:r>
              <w:rPr>
                <w:rFonts w:hint="eastAsia"/>
                <w:sz w:val="20"/>
                <w:szCs w:val="20"/>
              </w:rPr>
              <w:t>.0</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136.6728</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13.9</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16.5</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68.7846</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18.5</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25</w:t>
            </w:r>
            <w:r>
              <w:rPr>
                <w:rFonts w:hint="eastAsia"/>
                <w:sz w:val="20"/>
                <w:szCs w:val="20"/>
              </w:rPr>
              <w:t>.0</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163.4031</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12.9</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16.1</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58.5322</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18.2</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26.2</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150.9330</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19.3</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81.9325</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14</w:t>
            </w:r>
            <w:r>
              <w:rPr>
                <w:rFonts w:hint="eastAsia"/>
                <w:sz w:val="20"/>
                <w:szCs w:val="20"/>
              </w:rPr>
              <w:t>.0</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18.5</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69.9841</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19.4</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84.0987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13.9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sz w:val="20"/>
                <w:szCs w:val="20"/>
              </w:rPr>
              <w:t>22.1</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76.9977</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13.1</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18.9</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73.2317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13.9</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24</w:t>
            </w:r>
            <w:r>
              <w:rPr>
                <w:rFonts w:hint="eastAsia" w:eastAsia="黑体"/>
                <w:sz w:val="20"/>
                <w:szCs w:val="20"/>
              </w:rPr>
              <w:t>.0</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91.4171</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13.4</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19</w:t>
            </w:r>
            <w:r>
              <w:rPr>
                <w:rFonts w:hint="eastAsia"/>
                <w:sz w:val="20"/>
                <w:szCs w:val="20"/>
              </w:rPr>
              <w:t>.0</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70.4283</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17.6</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23.8</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118.4468</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12.9</w:t>
            </w:r>
          </w:p>
        </w:tc>
        <w:tc>
          <w:tcPr>
            <w:tcW w:w="95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17.1</w:t>
            </w:r>
          </w:p>
        </w:tc>
        <w:tc>
          <w:tcPr>
            <w:tcW w:w="214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70.5207</w:t>
            </w:r>
          </w:p>
        </w:tc>
        <w:tc>
          <w:tcPr>
            <w:tcW w:w="240"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17.6</w:t>
            </w:r>
          </w:p>
        </w:tc>
        <w:tc>
          <w:tcPr>
            <w:tcW w:w="854" w:type="dxa"/>
            <w:tcBorders>
              <w:top w:val="nil"/>
              <w:left w:val="nil"/>
              <w:bottom w:val="nil"/>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22.2</w:t>
            </w:r>
          </w:p>
        </w:tc>
        <w:tc>
          <w:tcPr>
            <w:tcW w:w="2086" w:type="dxa"/>
            <w:tcBorders>
              <w:top w:val="nil"/>
              <w:left w:val="nil"/>
              <w:bottom w:val="nil"/>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149.1616</w:t>
            </w:r>
          </w:p>
        </w:tc>
      </w:tr>
      <w:tr>
        <w:tblPrEx>
          <w:tblLayout w:type="fixed"/>
          <w:tblCellMar>
            <w:top w:w="0" w:type="dxa"/>
            <w:left w:w="0" w:type="dxa"/>
            <w:bottom w:w="0" w:type="dxa"/>
            <w:right w:w="0" w:type="dxa"/>
          </w:tblCellMar>
        </w:tblPrEx>
        <w:trPr>
          <w:trHeight w:val="270" w:hRule="atLeast"/>
        </w:trPr>
        <w:tc>
          <w:tcPr>
            <w:tcW w:w="619" w:type="dxa"/>
            <w:vMerge w:val="continue"/>
            <w:tcBorders>
              <w:top w:val="single" w:color="auto" w:sz="4" w:space="0"/>
              <w:left w:val="nil"/>
              <w:bottom w:val="single" w:color="auto" w:sz="4" w:space="0"/>
              <w:right w:val="nil"/>
            </w:tcBorders>
            <w:shd w:val="clear" w:color="auto" w:fill="auto"/>
            <w:vAlign w:val="center"/>
          </w:tcPr>
          <w:p>
            <w:pPr>
              <w:spacing w:line="240" w:lineRule="auto"/>
              <w:ind w:firstLine="0" w:firstLineChars="0"/>
              <w:rPr>
                <w:sz w:val="20"/>
                <w:szCs w:val="20"/>
              </w:rPr>
            </w:pPr>
          </w:p>
        </w:tc>
        <w:tc>
          <w:tcPr>
            <w:tcW w:w="681"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13.8</w:t>
            </w:r>
          </w:p>
        </w:tc>
        <w:tc>
          <w:tcPr>
            <w:tcW w:w="957"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sz w:val="20"/>
                <w:szCs w:val="20"/>
              </w:rPr>
            </w:pPr>
            <w:r>
              <w:rPr>
                <w:sz w:val="20"/>
                <w:szCs w:val="20"/>
              </w:rPr>
              <w:t>18.6</w:t>
            </w:r>
          </w:p>
        </w:tc>
        <w:tc>
          <w:tcPr>
            <w:tcW w:w="2146"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sz w:val="20"/>
                <w:szCs w:val="20"/>
              </w:rPr>
            </w:pPr>
            <w:r>
              <w:rPr>
                <w:rFonts w:eastAsia="黑体"/>
                <w:color w:val="000000"/>
                <w:kern w:val="0"/>
                <w:sz w:val="20"/>
                <w:szCs w:val="20"/>
              </w:rPr>
              <w:t>96.5537</w:t>
            </w:r>
          </w:p>
        </w:tc>
        <w:tc>
          <w:tcPr>
            <w:tcW w:w="240"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p>
        </w:tc>
        <w:tc>
          <w:tcPr>
            <w:tcW w:w="568" w:type="dxa"/>
            <w:vMerge w:val="continue"/>
            <w:tcBorders>
              <w:top w:val="single" w:color="auto" w:sz="4" w:space="0"/>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rPr>
                <w:rFonts w:eastAsia="黑体"/>
                <w:color w:val="000000"/>
                <w:kern w:val="0"/>
                <w:sz w:val="20"/>
                <w:szCs w:val="20"/>
              </w:rPr>
            </w:pPr>
          </w:p>
        </w:tc>
        <w:tc>
          <w:tcPr>
            <w:tcW w:w="727"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17.6</w:t>
            </w:r>
          </w:p>
        </w:tc>
        <w:tc>
          <w:tcPr>
            <w:tcW w:w="854"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spacing w:line="240" w:lineRule="auto"/>
              <w:ind w:firstLine="0" w:firstLineChars="0"/>
              <w:jc w:val="left"/>
              <w:rPr>
                <w:rFonts w:eastAsia="黑体"/>
                <w:color w:val="000000"/>
                <w:kern w:val="0"/>
                <w:sz w:val="20"/>
                <w:szCs w:val="20"/>
              </w:rPr>
            </w:pPr>
            <w:r>
              <w:rPr>
                <w:rFonts w:eastAsia="黑体"/>
                <w:sz w:val="20"/>
                <w:szCs w:val="20"/>
              </w:rPr>
              <w:t>25.6</w:t>
            </w:r>
          </w:p>
        </w:tc>
        <w:tc>
          <w:tcPr>
            <w:tcW w:w="2086" w:type="dxa"/>
            <w:tcBorders>
              <w:top w:val="nil"/>
              <w:left w:val="nil"/>
              <w:bottom w:val="single" w:color="auto" w:sz="4" w:space="0"/>
              <w:right w:val="nil"/>
            </w:tcBorders>
            <w:shd w:val="clear" w:color="000000" w:fill="FFFFFF"/>
            <w:tcMar>
              <w:top w:w="12" w:type="dxa"/>
              <w:left w:w="12" w:type="dxa"/>
              <w:bottom w:w="0" w:type="dxa"/>
              <w:right w:w="12" w:type="dxa"/>
            </w:tcMar>
            <w:vAlign w:val="center"/>
          </w:tcPr>
          <w:p>
            <w:pPr>
              <w:widowControl/>
              <w:spacing w:line="240" w:lineRule="auto"/>
              <w:ind w:firstLine="0" w:firstLineChars="0"/>
              <w:jc w:val="left"/>
              <w:rPr>
                <w:rFonts w:eastAsia="黑体"/>
                <w:color w:val="000000"/>
                <w:kern w:val="0"/>
                <w:sz w:val="20"/>
                <w:szCs w:val="20"/>
              </w:rPr>
            </w:pPr>
            <w:r>
              <w:rPr>
                <w:rFonts w:eastAsia="黑体"/>
                <w:color w:val="000000"/>
                <w:kern w:val="0"/>
                <w:sz w:val="20"/>
                <w:szCs w:val="20"/>
              </w:rPr>
              <w:t>138.2509</w:t>
            </w:r>
          </w:p>
        </w:tc>
      </w:tr>
    </w:tbl>
    <w:p>
      <w:pPr>
        <w:ind w:firstLine="0" w:firstLineChars="0"/>
        <w:jc w:val="center"/>
        <w:rPr>
          <w:sz w:val="20"/>
          <w:szCs w:val="20"/>
        </w:rPr>
      </w:pPr>
    </w:p>
    <w:p>
      <w:pPr>
        <w:widowControl/>
        <w:spacing w:line="240" w:lineRule="auto"/>
        <w:ind w:firstLine="0" w:firstLineChars="0"/>
        <w:jc w:val="left"/>
        <w:rPr>
          <w:sz w:val="20"/>
          <w:szCs w:val="20"/>
        </w:rPr>
      </w:pPr>
      <w:r>
        <w:rPr>
          <w:sz w:val="20"/>
          <w:szCs w:val="20"/>
        </w:rPr>
        <w:br w:type="page"/>
      </w:r>
    </w:p>
    <w:p>
      <w:pPr>
        <w:ind w:firstLine="0" w:firstLineChars="0"/>
        <w:jc w:val="center"/>
        <w:outlineLvl w:val="1"/>
        <w:rPr>
          <w:sz w:val="20"/>
          <w:szCs w:val="20"/>
        </w:rPr>
      </w:pPr>
      <w:bookmarkStart w:id="90" w:name="_Toc12886"/>
      <w:bookmarkStart w:id="91" w:name="_Toc520101995"/>
      <w:r>
        <w:rPr>
          <w:b/>
          <w:bCs/>
          <w:sz w:val="20"/>
          <w:szCs w:val="20"/>
        </w:rPr>
        <w:t xml:space="preserve">Table </w:t>
      </w:r>
      <w:r>
        <w:rPr>
          <w:rFonts w:hint="eastAsia"/>
          <w:b/>
          <w:bCs/>
          <w:sz w:val="20"/>
          <w:szCs w:val="20"/>
        </w:rPr>
        <w:t>B.</w:t>
      </w:r>
      <w:r>
        <w:rPr>
          <w:b/>
          <w:bCs/>
          <w:sz w:val="20"/>
          <w:szCs w:val="20"/>
        </w:rPr>
        <w:t>3</w:t>
      </w:r>
      <w:r>
        <w:rPr>
          <w:sz w:val="20"/>
          <w:szCs w:val="20"/>
        </w:rPr>
        <w:t xml:space="preserve"> Construction of the optimal model.</w:t>
      </w:r>
      <w:bookmarkEnd w:id="90"/>
    </w:p>
    <w:p>
      <w:pPr>
        <w:ind w:firstLine="0" w:firstLineChars="0"/>
        <w:jc w:val="center"/>
        <w:rPr>
          <w:sz w:val="20"/>
          <w:szCs w:val="20"/>
        </w:rPr>
      </w:pPr>
    </w:p>
    <w:tbl>
      <w:tblPr>
        <w:tblStyle w:val="16"/>
        <w:tblW w:w="9177" w:type="dxa"/>
        <w:jc w:val="center"/>
        <w:tblInd w:w="0" w:type="dxa"/>
        <w:tblLayout w:type="fixed"/>
        <w:tblCellMar>
          <w:top w:w="0" w:type="dxa"/>
          <w:left w:w="108" w:type="dxa"/>
          <w:bottom w:w="0" w:type="dxa"/>
          <w:right w:w="108" w:type="dxa"/>
        </w:tblCellMar>
      </w:tblPr>
      <w:tblGrid>
        <w:gridCol w:w="1485"/>
        <w:gridCol w:w="1877"/>
        <w:gridCol w:w="1485"/>
        <w:gridCol w:w="1532"/>
        <w:gridCol w:w="1454"/>
        <w:gridCol w:w="1344"/>
      </w:tblGrid>
      <w:tr>
        <w:tblPrEx>
          <w:tblLayout w:type="fixed"/>
          <w:tblCellMar>
            <w:top w:w="0" w:type="dxa"/>
            <w:left w:w="108" w:type="dxa"/>
            <w:bottom w:w="0" w:type="dxa"/>
            <w:right w:w="108" w:type="dxa"/>
          </w:tblCellMar>
        </w:tblPrEx>
        <w:trPr>
          <w:trHeight w:val="280" w:hRule="atLeast"/>
          <w:jc w:val="center"/>
        </w:trPr>
        <w:tc>
          <w:tcPr>
            <w:tcW w:w="3362" w:type="dxa"/>
            <w:gridSpan w:val="2"/>
            <w:tcBorders>
              <w:top w:val="nil"/>
              <w:left w:val="nil"/>
              <w:bottom w:val="nil"/>
              <w:right w:val="single" w:color="000000" w:sz="4" w:space="0"/>
            </w:tcBorders>
            <w:shd w:val="clear" w:color="000000" w:fill="D9D9D9"/>
            <w:noWrap/>
            <w:vAlign w:val="center"/>
          </w:tcPr>
          <w:p>
            <w:pPr>
              <w:widowControl/>
              <w:ind w:firstLine="0" w:firstLineChars="0"/>
              <w:jc w:val="center"/>
              <w:rPr>
                <w:rFonts w:cs="宋体"/>
                <w:color w:val="000000"/>
                <w:kern w:val="0"/>
                <w:sz w:val="20"/>
                <w:szCs w:val="20"/>
              </w:rPr>
            </w:pPr>
            <w:r>
              <w:rPr>
                <w:rFonts w:cs="宋体"/>
                <w:color w:val="000000"/>
                <w:kern w:val="0"/>
                <w:sz w:val="20"/>
                <w:szCs w:val="20"/>
              </w:rPr>
              <w:t>Leave-one-out</w:t>
            </w:r>
          </w:p>
        </w:tc>
        <w:tc>
          <w:tcPr>
            <w:tcW w:w="1485" w:type="dxa"/>
            <w:tcBorders>
              <w:top w:val="nil"/>
              <w:left w:val="nil"/>
              <w:bottom w:val="nil"/>
              <w:right w:val="single" w:color="auto" w:sz="4" w:space="0"/>
            </w:tcBorders>
            <w:shd w:val="clear" w:color="000000" w:fill="D9D9D9"/>
            <w:noWrap/>
            <w:vAlign w:val="center"/>
          </w:tcPr>
          <w:p>
            <w:pPr>
              <w:widowControl/>
              <w:ind w:firstLine="0" w:firstLineChars="0"/>
              <w:jc w:val="center"/>
              <w:rPr>
                <w:rFonts w:cs="宋体"/>
                <w:color w:val="000000"/>
                <w:kern w:val="0"/>
                <w:sz w:val="20"/>
                <w:szCs w:val="20"/>
              </w:rPr>
            </w:pPr>
            <w:r>
              <w:rPr>
                <w:rFonts w:cs="宋体"/>
                <w:color w:val="000000"/>
                <w:kern w:val="0"/>
                <w:sz w:val="20"/>
                <w:szCs w:val="20"/>
              </w:rPr>
              <w:t>Model 1</w:t>
            </w:r>
          </w:p>
        </w:tc>
        <w:tc>
          <w:tcPr>
            <w:tcW w:w="1532" w:type="dxa"/>
            <w:tcBorders>
              <w:top w:val="nil"/>
              <w:left w:val="nil"/>
              <w:bottom w:val="nil"/>
              <w:right w:val="single" w:color="auto" w:sz="4" w:space="0"/>
            </w:tcBorders>
            <w:shd w:val="clear" w:color="000000" w:fill="D9D9D9"/>
            <w:noWrap/>
            <w:vAlign w:val="center"/>
          </w:tcPr>
          <w:p>
            <w:pPr>
              <w:widowControl/>
              <w:ind w:firstLine="0" w:firstLineChars="0"/>
              <w:jc w:val="center"/>
              <w:rPr>
                <w:rFonts w:cs="宋体"/>
                <w:color w:val="000000"/>
                <w:kern w:val="0"/>
                <w:sz w:val="20"/>
                <w:szCs w:val="20"/>
              </w:rPr>
            </w:pPr>
            <w:r>
              <w:rPr>
                <w:rFonts w:cs="宋体"/>
                <w:color w:val="000000"/>
                <w:kern w:val="0"/>
                <w:sz w:val="20"/>
                <w:szCs w:val="20"/>
              </w:rPr>
              <w:t>Model 2</w:t>
            </w:r>
          </w:p>
        </w:tc>
        <w:tc>
          <w:tcPr>
            <w:tcW w:w="1454" w:type="dxa"/>
            <w:tcBorders>
              <w:top w:val="nil"/>
              <w:left w:val="nil"/>
              <w:bottom w:val="nil"/>
              <w:right w:val="single" w:color="auto" w:sz="4" w:space="0"/>
            </w:tcBorders>
            <w:shd w:val="clear" w:color="000000" w:fill="D9D9D9"/>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D9D9D9"/>
            <w:noWrap/>
            <w:vAlign w:val="center"/>
          </w:tcPr>
          <w:p>
            <w:pPr>
              <w:widowControl/>
              <w:ind w:firstLine="0" w:firstLineChars="0"/>
              <w:jc w:val="center"/>
              <w:rPr>
                <w:rFonts w:cs="宋体"/>
                <w:color w:val="000000"/>
                <w:kern w:val="0"/>
                <w:sz w:val="20"/>
                <w:szCs w:val="20"/>
              </w:rPr>
            </w:pPr>
            <w:r>
              <w:rPr>
                <w:rFonts w:cs="宋体"/>
                <w:color w:val="000000"/>
                <w:kern w:val="0"/>
                <w:sz w:val="20"/>
                <w:szCs w:val="20"/>
              </w:rPr>
              <w:t>Model 7</w:t>
            </w:r>
          </w:p>
        </w:tc>
      </w:tr>
      <w:tr>
        <w:tblPrEx>
          <w:tblLayout w:type="fixed"/>
          <w:tblCellMar>
            <w:top w:w="0" w:type="dxa"/>
            <w:left w:w="108" w:type="dxa"/>
            <w:bottom w:w="0" w:type="dxa"/>
            <w:right w:w="108" w:type="dxa"/>
          </w:tblCellMar>
        </w:tblPrEx>
        <w:trPr>
          <w:trHeight w:val="799" w:hRule="atLeast"/>
          <w:jc w:val="center"/>
        </w:trPr>
        <w:tc>
          <w:tcPr>
            <w:tcW w:w="1485" w:type="dxa"/>
            <w:tcBorders>
              <w:top w:val="nil"/>
              <w:left w:val="nil"/>
              <w:bottom w:val="nil"/>
              <w:right w:val="single" w:color="auto" w:sz="4" w:space="0"/>
            </w:tcBorders>
            <w:shd w:val="clear" w:color="000000" w:fill="DDEBF7"/>
            <w:vAlign w:val="center"/>
          </w:tcPr>
          <w:p>
            <w:pPr>
              <w:widowControl/>
              <w:ind w:firstLine="0" w:firstLineChars="0"/>
              <w:jc w:val="center"/>
              <w:rPr>
                <w:rFonts w:cs="宋体"/>
                <w:color w:val="000000"/>
                <w:kern w:val="0"/>
                <w:sz w:val="20"/>
                <w:szCs w:val="20"/>
              </w:rPr>
            </w:pPr>
            <w:r>
              <w:rPr>
                <w:rFonts w:cs="宋体"/>
                <w:color w:val="000000"/>
                <w:kern w:val="0"/>
                <w:sz w:val="20"/>
                <w:szCs w:val="20"/>
              </w:rPr>
              <w:t>Validation data            (Plot AGB)</w:t>
            </w:r>
          </w:p>
        </w:tc>
        <w:tc>
          <w:tcPr>
            <w:tcW w:w="1877" w:type="dxa"/>
            <w:tcBorders>
              <w:top w:val="nil"/>
              <w:left w:val="nil"/>
              <w:bottom w:val="nil"/>
              <w:right w:val="single" w:color="auto" w:sz="4" w:space="0"/>
            </w:tcBorders>
            <w:shd w:val="clear" w:color="000000" w:fill="E2EFDA"/>
            <w:vAlign w:val="center"/>
          </w:tcPr>
          <w:p>
            <w:pPr>
              <w:widowControl/>
              <w:ind w:firstLine="0" w:firstLineChars="0"/>
              <w:jc w:val="center"/>
              <w:rPr>
                <w:rFonts w:cs="宋体"/>
                <w:color w:val="000000"/>
                <w:kern w:val="0"/>
                <w:sz w:val="20"/>
                <w:szCs w:val="20"/>
              </w:rPr>
            </w:pPr>
            <w:r>
              <w:rPr>
                <w:rFonts w:cs="宋体"/>
                <w:color w:val="000000"/>
                <w:kern w:val="0"/>
                <w:sz w:val="20"/>
                <w:szCs w:val="20"/>
              </w:rPr>
              <w:t>Training data                            (Plot AGB and predictor variables)</w:t>
            </w:r>
          </w:p>
        </w:tc>
        <w:tc>
          <w:tcPr>
            <w:tcW w:w="1485" w:type="dxa"/>
            <w:tcBorders>
              <w:top w:val="nil"/>
              <w:left w:val="nil"/>
              <w:bottom w:val="nil"/>
              <w:right w:val="single" w:color="auto" w:sz="4" w:space="0"/>
            </w:tcBorders>
            <w:shd w:val="clear" w:color="000000" w:fill="FCE4D6"/>
            <w:vAlign w:val="center"/>
          </w:tcPr>
          <w:p>
            <w:pPr>
              <w:widowControl/>
              <w:ind w:firstLine="0" w:firstLineChars="0"/>
              <w:jc w:val="center"/>
              <w:rPr>
                <w:rFonts w:cs="宋体"/>
                <w:color w:val="000000"/>
                <w:kern w:val="0"/>
                <w:sz w:val="20"/>
                <w:szCs w:val="20"/>
              </w:rPr>
            </w:pPr>
            <w:r>
              <w:rPr>
                <w:rFonts w:cs="宋体"/>
                <w:color w:val="000000"/>
                <w:kern w:val="0"/>
                <w:sz w:val="20"/>
                <w:szCs w:val="20"/>
              </w:rPr>
              <w:t>Simulated data1            (Simulated AGB 1)</w:t>
            </w:r>
          </w:p>
        </w:tc>
        <w:tc>
          <w:tcPr>
            <w:tcW w:w="1532" w:type="dxa"/>
            <w:tcBorders>
              <w:top w:val="nil"/>
              <w:left w:val="nil"/>
              <w:bottom w:val="nil"/>
              <w:right w:val="single" w:color="auto" w:sz="4" w:space="0"/>
            </w:tcBorders>
            <w:shd w:val="clear" w:color="000000" w:fill="FCE4D6"/>
            <w:vAlign w:val="center"/>
          </w:tcPr>
          <w:p>
            <w:pPr>
              <w:widowControl/>
              <w:ind w:firstLine="0" w:firstLineChars="0"/>
              <w:jc w:val="center"/>
              <w:rPr>
                <w:rFonts w:cs="宋体"/>
                <w:color w:val="000000"/>
                <w:kern w:val="0"/>
                <w:sz w:val="20"/>
                <w:szCs w:val="20"/>
              </w:rPr>
            </w:pPr>
            <w:r>
              <w:rPr>
                <w:rFonts w:cs="宋体"/>
                <w:color w:val="000000"/>
                <w:kern w:val="0"/>
                <w:sz w:val="20"/>
                <w:szCs w:val="20"/>
              </w:rPr>
              <w:t>Simulated data2            (Simulated AGB2)</w:t>
            </w:r>
          </w:p>
        </w:tc>
        <w:tc>
          <w:tcPr>
            <w:tcW w:w="1454" w:type="dxa"/>
            <w:tcBorders>
              <w:top w:val="nil"/>
              <w:left w:val="nil"/>
              <w:bottom w:val="nil"/>
              <w:right w:val="single" w:color="auto" w:sz="4" w:space="0"/>
            </w:tcBorders>
            <w:shd w:val="clear" w:color="000000" w:fill="FCE4D6"/>
            <w:vAlign w:val="center"/>
          </w:tcPr>
          <w:p>
            <w:pPr>
              <w:widowControl/>
              <w:ind w:firstLine="0" w:firstLineChars="0"/>
              <w:jc w:val="center"/>
              <w:rPr>
                <w:rFonts w:cs="宋体"/>
                <w:color w:val="000000"/>
                <w:kern w:val="0"/>
                <w:sz w:val="20"/>
                <w:szCs w:val="20"/>
              </w:rPr>
            </w:pPr>
            <w:r>
              <w:rPr>
                <w:rFonts w:cs="宋体"/>
                <w:color w:val="000000"/>
                <w:kern w:val="0"/>
                <w:sz w:val="20"/>
                <w:szCs w:val="20"/>
              </w:rPr>
              <w:t>Simulated data            (Simulated AGB)</w:t>
            </w:r>
          </w:p>
        </w:tc>
        <w:tc>
          <w:tcPr>
            <w:tcW w:w="1344" w:type="dxa"/>
            <w:tcBorders>
              <w:top w:val="nil"/>
              <w:left w:val="nil"/>
              <w:bottom w:val="nil"/>
              <w:right w:val="single" w:color="auto" w:sz="4" w:space="0"/>
            </w:tcBorders>
            <w:shd w:val="clear" w:color="000000" w:fill="FCE4D6"/>
            <w:vAlign w:val="center"/>
          </w:tcPr>
          <w:p>
            <w:pPr>
              <w:widowControl/>
              <w:ind w:firstLine="0" w:firstLineChars="0"/>
              <w:jc w:val="center"/>
              <w:rPr>
                <w:rFonts w:cs="宋体"/>
                <w:color w:val="000000"/>
                <w:kern w:val="0"/>
                <w:sz w:val="20"/>
                <w:szCs w:val="20"/>
              </w:rPr>
            </w:pPr>
            <w:r>
              <w:rPr>
                <w:rFonts w:cs="宋体"/>
                <w:color w:val="000000"/>
                <w:kern w:val="0"/>
                <w:sz w:val="20"/>
                <w:szCs w:val="20"/>
              </w:rPr>
              <w:t>Simulated data7            (Simulated AGB7)</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9BC2E6"/>
            <w:noWrap/>
            <w:vAlign w:val="center"/>
          </w:tcPr>
          <w:p>
            <w:pPr>
              <w:widowControl/>
              <w:ind w:firstLine="0" w:firstLineChars="0"/>
              <w:jc w:val="center"/>
              <w:rPr>
                <w:rFonts w:cs="宋体"/>
                <w:color w:val="000000"/>
                <w:kern w:val="0"/>
                <w:sz w:val="20"/>
                <w:szCs w:val="20"/>
              </w:rPr>
            </w:pPr>
            <w:bookmarkStart w:id="92" w:name="OLE_LINK4"/>
            <w:r>
              <w:rPr>
                <w:rFonts w:hint="eastAsia" w:cs="宋体"/>
                <w:color w:val="000000"/>
                <w:kern w:val="0"/>
                <w:sz w:val="20"/>
                <w:szCs w:val="20"/>
              </w:rPr>
              <w:t>Plot</w:t>
            </w:r>
            <w:r>
              <w:rPr>
                <w:rFonts w:cs="宋体"/>
                <w:color w:val="000000"/>
                <w:kern w:val="0"/>
                <w:sz w:val="20"/>
                <w:szCs w:val="20"/>
              </w:rPr>
              <w:t xml:space="preserve"> </w:t>
            </w:r>
            <w:bookmarkEnd w:id="92"/>
            <w:r>
              <w:rPr>
                <w:rFonts w:cs="宋体"/>
                <w:color w:val="000000"/>
                <w:kern w:val="0"/>
                <w:sz w:val="20"/>
                <w:szCs w:val="20"/>
              </w:rPr>
              <w:t>ID</w:t>
            </w:r>
          </w:p>
        </w:tc>
        <w:tc>
          <w:tcPr>
            <w:tcW w:w="1877" w:type="dxa"/>
            <w:tcBorders>
              <w:top w:val="nil"/>
              <w:left w:val="nil"/>
              <w:bottom w:val="nil"/>
              <w:right w:val="single" w:color="auto" w:sz="4" w:space="0"/>
            </w:tcBorders>
            <w:shd w:val="clear" w:color="000000" w:fill="A9D08E"/>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Plot</w:t>
            </w:r>
            <w:r>
              <w:rPr>
                <w:rFonts w:cs="宋体"/>
                <w:color w:val="000000"/>
                <w:kern w:val="0"/>
                <w:sz w:val="20"/>
                <w:szCs w:val="20"/>
              </w:rPr>
              <w:t xml:space="preserve"> ID</w:t>
            </w:r>
          </w:p>
        </w:tc>
        <w:tc>
          <w:tcPr>
            <w:tcW w:w="1485" w:type="dxa"/>
            <w:tcBorders>
              <w:top w:val="nil"/>
              <w:left w:val="nil"/>
              <w:bottom w:val="nil"/>
              <w:right w:val="single" w:color="auto" w:sz="4" w:space="0"/>
            </w:tcBorders>
            <w:shd w:val="clear" w:color="000000" w:fill="F4B084"/>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Plot</w:t>
            </w:r>
            <w:r>
              <w:rPr>
                <w:rFonts w:cs="宋体"/>
                <w:color w:val="000000"/>
                <w:kern w:val="0"/>
                <w:sz w:val="20"/>
                <w:szCs w:val="20"/>
              </w:rPr>
              <w:t xml:space="preserve"> ID</w:t>
            </w:r>
          </w:p>
        </w:tc>
        <w:tc>
          <w:tcPr>
            <w:tcW w:w="1532" w:type="dxa"/>
            <w:tcBorders>
              <w:top w:val="nil"/>
              <w:left w:val="nil"/>
              <w:bottom w:val="nil"/>
              <w:right w:val="single" w:color="auto" w:sz="4" w:space="0"/>
            </w:tcBorders>
            <w:shd w:val="clear" w:color="000000" w:fill="F4B084"/>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Plot</w:t>
            </w:r>
            <w:r>
              <w:rPr>
                <w:rFonts w:cs="宋体"/>
                <w:color w:val="000000"/>
                <w:kern w:val="0"/>
                <w:sz w:val="20"/>
                <w:szCs w:val="20"/>
              </w:rPr>
              <w:t xml:space="preserve"> ID</w:t>
            </w:r>
          </w:p>
        </w:tc>
        <w:tc>
          <w:tcPr>
            <w:tcW w:w="1454" w:type="dxa"/>
            <w:tcBorders>
              <w:top w:val="nil"/>
              <w:left w:val="nil"/>
              <w:bottom w:val="nil"/>
              <w:right w:val="single" w:color="auto" w:sz="4" w:space="0"/>
            </w:tcBorders>
            <w:shd w:val="clear" w:color="000000" w:fill="F4B084"/>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Plot</w:t>
            </w:r>
            <w:r>
              <w:rPr>
                <w:rFonts w:cs="宋体"/>
                <w:color w:val="000000"/>
                <w:kern w:val="0"/>
                <w:sz w:val="20"/>
                <w:szCs w:val="20"/>
              </w:rPr>
              <w:t xml:space="preserve"> ID</w:t>
            </w:r>
          </w:p>
        </w:tc>
        <w:tc>
          <w:tcPr>
            <w:tcW w:w="1344" w:type="dxa"/>
            <w:tcBorders>
              <w:top w:val="nil"/>
              <w:left w:val="nil"/>
              <w:bottom w:val="nil"/>
              <w:right w:val="single" w:color="auto" w:sz="4" w:space="0"/>
            </w:tcBorders>
            <w:shd w:val="clear" w:color="000000" w:fill="F4B084"/>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Plot</w:t>
            </w:r>
            <w:r>
              <w:rPr>
                <w:rFonts w:cs="宋体"/>
                <w:color w:val="000000"/>
                <w:kern w:val="0"/>
                <w:sz w:val="20"/>
                <w:szCs w:val="20"/>
              </w:rPr>
              <w:t xml:space="preserve"> ID</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w:t>
            </w:r>
          </w:p>
        </w:tc>
        <w:tc>
          <w:tcPr>
            <w:tcW w:w="1877"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2-30</w:t>
            </w:r>
          </w:p>
        </w:tc>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 S1</w:t>
            </w:r>
          </w:p>
        </w:tc>
        <w:tc>
          <w:tcPr>
            <w:tcW w:w="1532"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 S2</w:t>
            </w:r>
          </w:p>
        </w:tc>
        <w:tc>
          <w:tcPr>
            <w:tcW w:w="145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 S7</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w:t>
            </w:r>
          </w:p>
        </w:tc>
        <w:tc>
          <w:tcPr>
            <w:tcW w:w="1877"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1,3-30</w:t>
            </w:r>
          </w:p>
        </w:tc>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 S1</w:t>
            </w:r>
          </w:p>
        </w:tc>
        <w:tc>
          <w:tcPr>
            <w:tcW w:w="1532"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 S2</w:t>
            </w:r>
          </w:p>
        </w:tc>
        <w:tc>
          <w:tcPr>
            <w:tcW w:w="145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 S7</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w:t>
            </w:r>
          </w:p>
        </w:tc>
        <w:tc>
          <w:tcPr>
            <w:tcW w:w="1877"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1-2,4-30</w:t>
            </w:r>
          </w:p>
        </w:tc>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 S1</w:t>
            </w:r>
          </w:p>
        </w:tc>
        <w:tc>
          <w:tcPr>
            <w:tcW w:w="1532"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 S2</w:t>
            </w:r>
          </w:p>
        </w:tc>
        <w:tc>
          <w:tcPr>
            <w:tcW w:w="145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 S7</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877"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532"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45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29</w:t>
            </w:r>
          </w:p>
        </w:tc>
        <w:tc>
          <w:tcPr>
            <w:tcW w:w="1877"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1-28,30</w:t>
            </w:r>
          </w:p>
        </w:tc>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29 S1</w:t>
            </w:r>
          </w:p>
        </w:tc>
        <w:tc>
          <w:tcPr>
            <w:tcW w:w="1532"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29 S2</w:t>
            </w:r>
          </w:p>
        </w:tc>
        <w:tc>
          <w:tcPr>
            <w:tcW w:w="145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29 S7</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30</w:t>
            </w:r>
          </w:p>
        </w:tc>
        <w:tc>
          <w:tcPr>
            <w:tcW w:w="1877"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1-29</w:t>
            </w:r>
          </w:p>
        </w:tc>
        <w:tc>
          <w:tcPr>
            <w:tcW w:w="1485"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30 S1</w:t>
            </w:r>
          </w:p>
        </w:tc>
        <w:tc>
          <w:tcPr>
            <w:tcW w:w="1532"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30 S2</w:t>
            </w:r>
          </w:p>
        </w:tc>
        <w:tc>
          <w:tcPr>
            <w:tcW w:w="145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000000" w:fill="E7E6E6"/>
            <w:noWrap/>
            <w:vAlign w:val="center"/>
          </w:tcPr>
          <w:p>
            <w:pPr>
              <w:widowControl/>
              <w:ind w:firstLine="0" w:firstLineChars="0"/>
              <w:jc w:val="center"/>
              <w:rPr>
                <w:rFonts w:cs="宋体"/>
                <w:color w:val="000000"/>
                <w:kern w:val="0"/>
                <w:sz w:val="20"/>
                <w:szCs w:val="20"/>
              </w:rPr>
            </w:pPr>
            <w:r>
              <w:rPr>
                <w:rFonts w:cs="宋体"/>
                <w:color w:val="000000"/>
                <w:kern w:val="0"/>
                <w:sz w:val="20"/>
                <w:szCs w:val="20"/>
              </w:rPr>
              <w:t>30 S7</w:t>
            </w: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auto" w:fill="9CC2E5"/>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AGB</w:t>
            </w:r>
            <w:r>
              <w:rPr>
                <w:rFonts w:cs="宋体"/>
                <w:color w:val="000000"/>
                <w:kern w:val="0"/>
                <w:sz w:val="20"/>
                <w:szCs w:val="20"/>
              </w:rPr>
              <w:t xml:space="preserve"> </w:t>
            </w:r>
            <w:r>
              <w:rPr>
                <w:rFonts w:hint="eastAsia" w:cs="宋体"/>
                <w:color w:val="000000"/>
                <w:kern w:val="0"/>
                <w:sz w:val="20"/>
                <w:szCs w:val="20"/>
              </w:rPr>
              <w:t>(</w:t>
            </w:r>
            <w:r>
              <w:rPr>
                <w:rFonts w:cs="宋体"/>
                <w:color w:val="000000"/>
                <w:kern w:val="0"/>
                <w:sz w:val="20"/>
                <w:szCs w:val="20"/>
              </w:rPr>
              <w:t>group M</w:t>
            </w:r>
            <w:r>
              <w:rPr>
                <w:rFonts w:hint="eastAsia" w:cs="宋体"/>
                <w:color w:val="000000"/>
                <w:kern w:val="0"/>
                <w:sz w:val="20"/>
                <w:szCs w:val="20"/>
              </w:rPr>
              <w:t>)</w:t>
            </w:r>
          </w:p>
        </w:tc>
        <w:tc>
          <w:tcPr>
            <w:tcW w:w="1877" w:type="dxa"/>
            <w:tcBorders>
              <w:top w:val="nil"/>
              <w:left w:val="nil"/>
              <w:bottom w:val="nil"/>
              <w:right w:val="single" w:color="auto" w:sz="4" w:space="0"/>
            </w:tcBorders>
            <w:shd w:val="clear" w:color="auto" w:fill="A8D08D"/>
            <w:noWrap/>
            <w:vAlign w:val="center"/>
          </w:tcPr>
          <w:p>
            <w:pPr>
              <w:widowControl/>
              <w:ind w:firstLine="0" w:firstLineChars="0"/>
              <w:jc w:val="center"/>
              <w:rPr>
                <w:rFonts w:cs="宋体"/>
                <w:color w:val="000000"/>
                <w:kern w:val="0"/>
                <w:sz w:val="20"/>
                <w:szCs w:val="20"/>
              </w:rPr>
            </w:pPr>
          </w:p>
        </w:tc>
        <w:tc>
          <w:tcPr>
            <w:tcW w:w="1485"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AGB</w:t>
            </w:r>
            <w:r>
              <w:rPr>
                <w:rFonts w:cs="宋体"/>
                <w:color w:val="000000"/>
                <w:kern w:val="0"/>
                <w:sz w:val="20"/>
                <w:szCs w:val="20"/>
              </w:rPr>
              <w:t xml:space="preserve"> </w:t>
            </w:r>
            <w:r>
              <w:rPr>
                <w:rFonts w:hint="eastAsia" w:cs="宋体"/>
                <w:color w:val="000000"/>
                <w:kern w:val="0"/>
                <w:sz w:val="20"/>
                <w:szCs w:val="20"/>
              </w:rPr>
              <w:t>(</w:t>
            </w:r>
            <w:r>
              <w:rPr>
                <w:rFonts w:cs="宋体"/>
                <w:color w:val="000000"/>
                <w:kern w:val="0"/>
                <w:sz w:val="20"/>
                <w:szCs w:val="20"/>
              </w:rPr>
              <w:t>group1</w:t>
            </w:r>
            <w:r>
              <w:rPr>
                <w:rFonts w:hint="eastAsia" w:cs="宋体"/>
                <w:color w:val="000000"/>
                <w:kern w:val="0"/>
                <w:sz w:val="20"/>
                <w:szCs w:val="20"/>
              </w:rPr>
              <w:t>)</w:t>
            </w:r>
          </w:p>
        </w:tc>
        <w:tc>
          <w:tcPr>
            <w:tcW w:w="1532"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AGB</w:t>
            </w:r>
            <w:r>
              <w:rPr>
                <w:rFonts w:cs="宋体"/>
                <w:color w:val="000000"/>
                <w:kern w:val="0"/>
                <w:sz w:val="20"/>
                <w:szCs w:val="20"/>
              </w:rPr>
              <w:t xml:space="preserve"> </w:t>
            </w:r>
            <w:r>
              <w:rPr>
                <w:rFonts w:hint="eastAsia" w:cs="宋体"/>
                <w:color w:val="000000"/>
                <w:kern w:val="0"/>
                <w:sz w:val="20"/>
                <w:szCs w:val="20"/>
              </w:rPr>
              <w:t>(</w:t>
            </w:r>
            <w:r>
              <w:rPr>
                <w:rFonts w:cs="宋体"/>
                <w:color w:val="000000"/>
                <w:kern w:val="0"/>
                <w:sz w:val="20"/>
                <w:szCs w:val="20"/>
              </w:rPr>
              <w:t>group2</w:t>
            </w:r>
            <w:r>
              <w:rPr>
                <w:rFonts w:hint="eastAsia" w:cs="宋体"/>
                <w:color w:val="000000"/>
                <w:kern w:val="0"/>
                <w:sz w:val="20"/>
                <w:szCs w:val="20"/>
              </w:rPr>
              <w:t>)</w:t>
            </w:r>
          </w:p>
        </w:tc>
        <w:tc>
          <w:tcPr>
            <w:tcW w:w="1454"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hint="eastAsia" w:cs="宋体"/>
                <w:color w:val="000000"/>
                <w:kern w:val="0"/>
                <w:sz w:val="20"/>
                <w:szCs w:val="20"/>
              </w:rPr>
              <w:t>AGB</w:t>
            </w:r>
            <w:r>
              <w:rPr>
                <w:rFonts w:cs="宋体"/>
                <w:color w:val="000000"/>
                <w:kern w:val="0"/>
                <w:sz w:val="20"/>
                <w:szCs w:val="20"/>
              </w:rPr>
              <w:t xml:space="preserve"> </w:t>
            </w:r>
            <w:r>
              <w:rPr>
                <w:rFonts w:hint="eastAsia" w:cs="宋体"/>
                <w:color w:val="000000"/>
                <w:kern w:val="0"/>
                <w:sz w:val="20"/>
                <w:szCs w:val="20"/>
              </w:rPr>
              <w:t>(</w:t>
            </w:r>
            <w:r>
              <w:rPr>
                <w:rFonts w:cs="宋体"/>
                <w:color w:val="000000"/>
                <w:kern w:val="0"/>
                <w:sz w:val="20"/>
                <w:szCs w:val="20"/>
              </w:rPr>
              <w:t>group7</w:t>
            </w:r>
            <w:r>
              <w:rPr>
                <w:rFonts w:hint="eastAsia" w:cs="宋体"/>
                <w:color w:val="000000"/>
                <w:kern w:val="0"/>
                <w:sz w:val="20"/>
                <w:szCs w:val="20"/>
              </w:rPr>
              <w:t>)</w:t>
            </w:r>
          </w:p>
        </w:tc>
      </w:tr>
      <w:tr>
        <w:tblPrEx>
          <w:tblLayout w:type="fixed"/>
          <w:tblCellMar>
            <w:top w:w="0" w:type="dxa"/>
            <w:left w:w="108" w:type="dxa"/>
            <w:bottom w:w="0" w:type="dxa"/>
            <w:right w:w="108" w:type="dxa"/>
          </w:tblCellMar>
        </w:tblPrEx>
        <w:trPr>
          <w:trHeight w:val="66" w:hRule="atLeast"/>
          <w:jc w:val="center"/>
        </w:trPr>
        <w:tc>
          <w:tcPr>
            <w:tcW w:w="1485" w:type="dxa"/>
            <w:tcBorders>
              <w:top w:val="nil"/>
              <w:left w:val="nil"/>
              <w:bottom w:val="nil"/>
              <w:right w:val="single" w:color="auto" w:sz="4" w:space="0"/>
            </w:tcBorders>
            <w:noWrap/>
            <w:vAlign w:val="center"/>
          </w:tcPr>
          <w:p>
            <w:pPr>
              <w:widowControl/>
              <w:snapToGrid w:val="0"/>
              <w:ind w:firstLine="0" w:firstLineChars="0"/>
              <w:jc w:val="center"/>
              <w:rPr>
                <w:rFonts w:cs="宋体"/>
                <w:color w:val="000000"/>
                <w:kern w:val="0"/>
                <w:sz w:val="20"/>
                <w:szCs w:val="20"/>
              </w:rPr>
            </w:pPr>
          </w:p>
        </w:tc>
        <w:tc>
          <w:tcPr>
            <w:tcW w:w="1877" w:type="dxa"/>
            <w:tcBorders>
              <w:top w:val="nil"/>
              <w:left w:val="nil"/>
              <w:bottom w:val="nil"/>
              <w:right w:val="single" w:color="auto" w:sz="4" w:space="0"/>
            </w:tcBorders>
            <w:noWrap/>
            <w:vAlign w:val="center"/>
          </w:tcPr>
          <w:p>
            <w:pPr>
              <w:widowControl/>
              <w:snapToGrid w:val="0"/>
              <w:ind w:firstLine="0" w:firstLineChars="0"/>
              <w:jc w:val="center"/>
              <w:rPr>
                <w:rFonts w:cs="宋体"/>
                <w:color w:val="000000"/>
                <w:kern w:val="0"/>
                <w:sz w:val="20"/>
                <w:szCs w:val="20"/>
              </w:rPr>
            </w:pPr>
          </w:p>
        </w:tc>
        <w:tc>
          <w:tcPr>
            <w:tcW w:w="1485" w:type="dxa"/>
            <w:tcBorders>
              <w:top w:val="nil"/>
              <w:left w:val="nil"/>
              <w:bottom w:val="nil"/>
              <w:right w:val="single" w:color="auto" w:sz="4" w:space="0"/>
            </w:tcBorders>
            <w:noWrap/>
            <w:vAlign w:val="center"/>
          </w:tcPr>
          <w:p>
            <w:pPr>
              <w:widowControl/>
              <w:snapToGrid w:val="0"/>
              <w:ind w:firstLine="0" w:firstLineChars="0"/>
              <w:jc w:val="center"/>
              <w:rPr>
                <w:rFonts w:cs="宋体"/>
                <w:color w:val="000000"/>
                <w:kern w:val="0"/>
                <w:sz w:val="20"/>
                <w:szCs w:val="20"/>
              </w:rPr>
            </w:pPr>
          </w:p>
        </w:tc>
        <w:tc>
          <w:tcPr>
            <w:tcW w:w="1532" w:type="dxa"/>
            <w:tcBorders>
              <w:top w:val="nil"/>
              <w:left w:val="nil"/>
              <w:bottom w:val="nil"/>
              <w:right w:val="single" w:color="auto" w:sz="4" w:space="0"/>
            </w:tcBorders>
            <w:noWrap/>
            <w:vAlign w:val="center"/>
          </w:tcPr>
          <w:p>
            <w:pPr>
              <w:widowControl/>
              <w:snapToGrid w:val="0"/>
              <w:ind w:firstLine="0" w:firstLineChars="0"/>
              <w:jc w:val="center"/>
              <w:rPr>
                <w:rFonts w:cs="宋体"/>
                <w:color w:val="000000"/>
                <w:kern w:val="0"/>
                <w:sz w:val="20"/>
                <w:szCs w:val="20"/>
              </w:rPr>
            </w:pPr>
          </w:p>
        </w:tc>
        <w:tc>
          <w:tcPr>
            <w:tcW w:w="1454" w:type="dxa"/>
            <w:tcBorders>
              <w:top w:val="nil"/>
              <w:left w:val="nil"/>
              <w:bottom w:val="nil"/>
              <w:right w:val="single" w:color="auto" w:sz="4" w:space="0"/>
            </w:tcBorders>
            <w:noWrap/>
            <w:vAlign w:val="center"/>
          </w:tcPr>
          <w:p>
            <w:pPr>
              <w:widowControl/>
              <w:snapToGrid w:val="0"/>
              <w:ind w:firstLine="0" w:firstLineChars="0"/>
              <w:jc w:val="center"/>
              <w:rPr>
                <w:rFonts w:cs="宋体"/>
                <w:color w:val="000000"/>
                <w:kern w:val="0"/>
                <w:sz w:val="20"/>
                <w:szCs w:val="20"/>
              </w:rPr>
            </w:pPr>
          </w:p>
        </w:tc>
        <w:tc>
          <w:tcPr>
            <w:tcW w:w="1344" w:type="dxa"/>
            <w:tcBorders>
              <w:top w:val="nil"/>
              <w:left w:val="nil"/>
              <w:bottom w:val="nil"/>
              <w:right w:val="single" w:color="auto" w:sz="4" w:space="0"/>
            </w:tcBorders>
            <w:noWrap/>
            <w:vAlign w:val="center"/>
          </w:tcPr>
          <w:p>
            <w:pPr>
              <w:widowControl/>
              <w:snapToGrid w:val="0"/>
              <w:ind w:firstLine="0" w:firstLineChars="0"/>
              <w:jc w:val="center"/>
              <w:rPr>
                <w:rFonts w:cs="宋体"/>
                <w:color w:val="000000"/>
                <w:kern w:val="0"/>
                <w:sz w:val="20"/>
                <w:szCs w:val="20"/>
              </w:rPr>
            </w:pPr>
          </w:p>
        </w:tc>
      </w:tr>
      <w:tr>
        <w:tblPrEx>
          <w:tblLayout w:type="fixed"/>
          <w:tblCellMar>
            <w:top w:w="0" w:type="dxa"/>
            <w:left w:w="108" w:type="dxa"/>
            <w:bottom w:w="0" w:type="dxa"/>
            <w:right w:w="108" w:type="dxa"/>
          </w:tblCellMar>
        </w:tblPrEx>
        <w:trPr>
          <w:trHeight w:val="280" w:hRule="atLeast"/>
          <w:jc w:val="center"/>
        </w:trPr>
        <w:tc>
          <w:tcPr>
            <w:tcW w:w="1485" w:type="dxa"/>
            <w:tcBorders>
              <w:top w:val="nil"/>
              <w:left w:val="nil"/>
              <w:bottom w:val="nil"/>
              <w:right w:val="single" w:color="auto" w:sz="4" w:space="0"/>
            </w:tcBorders>
            <w:shd w:val="clear" w:color="auto" w:fill="9CC2E5"/>
            <w:noWrap/>
            <w:vAlign w:val="center"/>
          </w:tcPr>
          <w:p>
            <w:pPr>
              <w:widowControl/>
              <w:ind w:firstLine="0" w:firstLineChars="0"/>
              <w:jc w:val="center"/>
              <w:rPr>
                <w:rFonts w:cs="宋体"/>
                <w:color w:val="000000"/>
                <w:kern w:val="0"/>
                <w:sz w:val="20"/>
                <w:szCs w:val="20"/>
              </w:rPr>
            </w:pPr>
          </w:p>
        </w:tc>
        <w:tc>
          <w:tcPr>
            <w:tcW w:w="1877" w:type="dxa"/>
            <w:tcBorders>
              <w:top w:val="nil"/>
              <w:left w:val="nil"/>
              <w:bottom w:val="nil"/>
              <w:right w:val="single" w:color="auto" w:sz="4" w:space="0"/>
            </w:tcBorders>
            <w:shd w:val="clear" w:color="auto" w:fill="A8D08D"/>
            <w:noWrap/>
            <w:vAlign w:val="center"/>
          </w:tcPr>
          <w:p>
            <w:pPr>
              <w:widowControl/>
              <w:ind w:firstLine="0" w:firstLineChars="0"/>
              <w:jc w:val="center"/>
              <w:rPr>
                <w:rFonts w:cs="宋体"/>
                <w:color w:val="000000"/>
                <w:kern w:val="0"/>
                <w:sz w:val="20"/>
                <w:szCs w:val="20"/>
              </w:rPr>
            </w:pPr>
          </w:p>
        </w:tc>
        <w:tc>
          <w:tcPr>
            <w:tcW w:w="1485"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cs="宋体"/>
                <w:color w:val="000000"/>
                <w:kern w:val="0"/>
                <w:sz w:val="20"/>
                <w:szCs w:val="20"/>
              </w:rPr>
              <w:t>MAE1, MRE1 and RMSE1</w:t>
            </w:r>
          </w:p>
        </w:tc>
        <w:tc>
          <w:tcPr>
            <w:tcW w:w="1532"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cs="宋体"/>
                <w:color w:val="000000"/>
                <w:kern w:val="0"/>
                <w:sz w:val="20"/>
                <w:szCs w:val="20"/>
              </w:rPr>
              <w:t>MAE2, MRE2 and RMSE2</w:t>
            </w:r>
          </w:p>
        </w:tc>
        <w:tc>
          <w:tcPr>
            <w:tcW w:w="1454"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cs="宋体"/>
                <w:color w:val="000000"/>
                <w:kern w:val="0"/>
                <w:sz w:val="20"/>
                <w:szCs w:val="20"/>
              </w:rPr>
              <w:t>…</w:t>
            </w:r>
          </w:p>
        </w:tc>
        <w:tc>
          <w:tcPr>
            <w:tcW w:w="1344" w:type="dxa"/>
            <w:tcBorders>
              <w:top w:val="nil"/>
              <w:left w:val="nil"/>
              <w:bottom w:val="nil"/>
              <w:right w:val="single" w:color="auto" w:sz="4" w:space="0"/>
            </w:tcBorders>
            <w:shd w:val="clear" w:color="auto" w:fill="F4B083"/>
            <w:noWrap/>
            <w:vAlign w:val="center"/>
          </w:tcPr>
          <w:p>
            <w:pPr>
              <w:widowControl/>
              <w:ind w:firstLine="0" w:firstLineChars="0"/>
              <w:jc w:val="center"/>
              <w:rPr>
                <w:rFonts w:cs="宋体"/>
                <w:color w:val="000000"/>
                <w:kern w:val="0"/>
                <w:sz w:val="20"/>
                <w:szCs w:val="20"/>
              </w:rPr>
            </w:pPr>
            <w:r>
              <w:rPr>
                <w:rFonts w:cs="宋体"/>
                <w:color w:val="000000"/>
                <w:kern w:val="0"/>
                <w:sz w:val="20"/>
                <w:szCs w:val="20"/>
              </w:rPr>
              <w:t>MAE7, MRE7 and RMSE7</w:t>
            </w:r>
          </w:p>
        </w:tc>
      </w:tr>
    </w:tbl>
    <w:p>
      <w:pPr>
        <w:widowControl/>
        <w:ind w:firstLine="402"/>
        <w:jc w:val="left"/>
        <w:rPr>
          <w:b/>
          <w:bCs/>
          <w:sz w:val="20"/>
          <w:szCs w:val="20"/>
        </w:rPr>
      </w:pPr>
    </w:p>
    <w:p>
      <w:pPr>
        <w:widowControl/>
        <w:ind w:firstLine="402"/>
        <w:jc w:val="center"/>
        <w:outlineLvl w:val="1"/>
        <w:rPr>
          <w:sz w:val="20"/>
          <w:szCs w:val="20"/>
        </w:rPr>
      </w:pPr>
      <w:bookmarkStart w:id="93" w:name="_Toc506920675"/>
      <w:bookmarkStart w:id="94" w:name="_Toc6477"/>
      <w:r>
        <w:rPr>
          <w:b/>
          <w:bCs/>
          <w:sz w:val="20"/>
          <w:szCs w:val="20"/>
        </w:rPr>
        <w:t xml:space="preserve">Table </w:t>
      </w:r>
      <w:r>
        <w:rPr>
          <w:rFonts w:hint="eastAsia"/>
          <w:b/>
          <w:bCs/>
          <w:sz w:val="20"/>
          <w:szCs w:val="20"/>
        </w:rPr>
        <w:t>B.</w:t>
      </w:r>
      <w:r>
        <w:rPr>
          <w:b/>
          <w:bCs/>
          <w:sz w:val="20"/>
          <w:szCs w:val="20"/>
        </w:rPr>
        <w:t>4</w:t>
      </w:r>
      <w:r>
        <w:rPr>
          <w:sz w:val="20"/>
          <w:szCs w:val="20"/>
        </w:rPr>
        <w:t xml:space="preserve"> Statistical description of </w:t>
      </w:r>
      <w:r>
        <w:rPr>
          <w:rFonts w:hint="eastAsia"/>
          <w:sz w:val="20"/>
          <w:szCs w:val="20"/>
        </w:rPr>
        <w:t xml:space="preserve">AGB and </w:t>
      </w:r>
      <w:r>
        <w:rPr>
          <w:sz w:val="20"/>
          <w:szCs w:val="20"/>
        </w:rPr>
        <w:t>selected variables</w:t>
      </w:r>
      <w:bookmarkEnd w:id="93"/>
      <w:r>
        <w:rPr>
          <w:sz w:val="20"/>
          <w:szCs w:val="20"/>
        </w:rPr>
        <w:t xml:space="preserve"> for sample plots.</w:t>
      </w:r>
      <w:bookmarkEnd w:id="91"/>
      <w:bookmarkEnd w:id="94"/>
    </w:p>
    <w:p>
      <w:pPr>
        <w:widowControl/>
        <w:ind w:firstLine="402"/>
        <w:jc w:val="left"/>
        <w:rPr>
          <w:b/>
          <w:sz w:val="20"/>
          <w:szCs w:val="20"/>
        </w:rPr>
      </w:pPr>
    </w:p>
    <w:tbl>
      <w:tblPr>
        <w:tblStyle w:val="16"/>
        <w:tblW w:w="9254" w:type="dxa"/>
        <w:jc w:val="center"/>
        <w:tblInd w:w="0" w:type="dxa"/>
        <w:tblLayout w:type="fixed"/>
        <w:tblCellMar>
          <w:top w:w="0" w:type="dxa"/>
          <w:left w:w="108" w:type="dxa"/>
          <w:bottom w:w="0" w:type="dxa"/>
          <w:right w:w="108" w:type="dxa"/>
        </w:tblCellMar>
      </w:tblPr>
      <w:tblGrid>
        <w:gridCol w:w="2102"/>
        <w:gridCol w:w="992"/>
        <w:gridCol w:w="1082"/>
        <w:gridCol w:w="1251"/>
        <w:gridCol w:w="1276"/>
        <w:gridCol w:w="1275"/>
        <w:gridCol w:w="1276"/>
      </w:tblGrid>
      <w:tr>
        <w:tblPrEx>
          <w:tblLayout w:type="fixed"/>
          <w:tblCellMar>
            <w:top w:w="0" w:type="dxa"/>
            <w:left w:w="108" w:type="dxa"/>
            <w:bottom w:w="0" w:type="dxa"/>
            <w:right w:w="108" w:type="dxa"/>
          </w:tblCellMar>
        </w:tblPrEx>
        <w:trPr>
          <w:trHeight w:val="348" w:hRule="atLeast"/>
          <w:jc w:val="center"/>
        </w:trPr>
        <w:tc>
          <w:tcPr>
            <w:tcW w:w="2102"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bCs/>
                <w:kern w:val="0"/>
                <w:sz w:val="20"/>
                <w:szCs w:val="20"/>
              </w:rPr>
              <w:t>Variables</w:t>
            </w:r>
          </w:p>
        </w:tc>
        <w:tc>
          <w:tcPr>
            <w:tcW w:w="992"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sz w:val="20"/>
                <w:szCs w:val="20"/>
              </w:rPr>
              <w:t>Mean</w:t>
            </w:r>
          </w:p>
        </w:tc>
        <w:tc>
          <w:tcPr>
            <w:tcW w:w="1082"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bCs/>
                <w:kern w:val="0"/>
                <w:sz w:val="20"/>
                <w:szCs w:val="20"/>
              </w:rPr>
              <w:t>Median</w:t>
            </w:r>
          </w:p>
        </w:tc>
        <w:tc>
          <w:tcPr>
            <w:tcW w:w="1251"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sz w:val="20"/>
                <w:szCs w:val="20"/>
              </w:rPr>
              <w:t>Standard deviation</w:t>
            </w:r>
          </w:p>
        </w:tc>
        <w:tc>
          <w:tcPr>
            <w:tcW w:w="1276"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rFonts w:hint="eastAsia"/>
                <w:bCs/>
                <w:kern w:val="0"/>
                <w:sz w:val="20"/>
                <w:szCs w:val="20"/>
              </w:rPr>
              <w:t>C</w:t>
            </w:r>
            <w:r>
              <w:rPr>
                <w:bCs/>
                <w:kern w:val="0"/>
                <w:sz w:val="20"/>
                <w:szCs w:val="20"/>
              </w:rPr>
              <w:t>oefficient</w:t>
            </w:r>
            <w:r>
              <w:rPr>
                <w:rFonts w:hint="eastAsia"/>
                <w:bCs/>
                <w:kern w:val="0"/>
                <w:sz w:val="20"/>
                <w:szCs w:val="20"/>
              </w:rPr>
              <w:t xml:space="preserve"> of </w:t>
            </w:r>
            <w:r>
              <w:rPr>
                <w:bCs/>
                <w:kern w:val="0"/>
                <w:sz w:val="20"/>
                <w:szCs w:val="20"/>
              </w:rPr>
              <w:t>varia</w:t>
            </w:r>
            <w:r>
              <w:rPr>
                <w:rFonts w:hint="eastAsia"/>
                <w:bCs/>
                <w:kern w:val="0"/>
                <w:sz w:val="20"/>
                <w:szCs w:val="20"/>
              </w:rPr>
              <w:t>tion</w:t>
            </w:r>
          </w:p>
        </w:tc>
        <w:tc>
          <w:tcPr>
            <w:tcW w:w="1275"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sz w:val="20"/>
                <w:szCs w:val="20"/>
              </w:rPr>
              <w:t>Minimum</w:t>
            </w:r>
          </w:p>
        </w:tc>
        <w:tc>
          <w:tcPr>
            <w:tcW w:w="1276" w:type="dxa"/>
            <w:tcBorders>
              <w:top w:val="single" w:color="auto" w:sz="12" w:space="0"/>
              <w:bottom w:val="single" w:color="auto" w:sz="4" w:space="0"/>
            </w:tcBorders>
            <w:shd w:val="clear" w:color="000000" w:fill="FFFFFF"/>
            <w:vAlign w:val="center"/>
          </w:tcPr>
          <w:p>
            <w:pPr>
              <w:widowControl/>
              <w:ind w:firstLine="0" w:firstLineChars="0"/>
              <w:jc w:val="center"/>
              <w:rPr>
                <w:bCs/>
                <w:kern w:val="0"/>
                <w:sz w:val="20"/>
                <w:szCs w:val="20"/>
              </w:rPr>
            </w:pPr>
            <w:r>
              <w:rPr>
                <w:sz w:val="20"/>
                <w:szCs w:val="20"/>
              </w:rPr>
              <w:t>Maximum</w:t>
            </w:r>
          </w:p>
        </w:tc>
      </w:tr>
      <w:tr>
        <w:tblPrEx>
          <w:tblLayout w:type="fixed"/>
          <w:tblCellMar>
            <w:top w:w="0" w:type="dxa"/>
            <w:left w:w="108" w:type="dxa"/>
            <w:bottom w:w="0" w:type="dxa"/>
            <w:right w:w="108" w:type="dxa"/>
          </w:tblCellMar>
        </w:tblPrEx>
        <w:trPr>
          <w:trHeight w:val="90" w:hRule="atLeast"/>
          <w:jc w:val="center"/>
        </w:trPr>
        <w:tc>
          <w:tcPr>
            <w:tcW w:w="2102" w:type="dxa"/>
            <w:tcBorders>
              <w:top w:val="single" w:color="auto" w:sz="4" w:space="0"/>
            </w:tcBorders>
            <w:shd w:val="clear" w:color="000000" w:fill="FFFFFF"/>
            <w:vAlign w:val="center"/>
          </w:tcPr>
          <w:p>
            <w:pPr>
              <w:widowControl/>
              <w:ind w:firstLine="0" w:firstLineChars="0"/>
              <w:jc w:val="center"/>
              <w:rPr>
                <w:kern w:val="0"/>
                <w:sz w:val="20"/>
                <w:szCs w:val="20"/>
              </w:rPr>
            </w:pPr>
            <w:r>
              <w:rPr>
                <w:kern w:val="0"/>
                <w:sz w:val="20"/>
                <w:szCs w:val="20"/>
              </w:rPr>
              <w:t>Aboveground biomass, AGB (t/ha)</w:t>
            </w:r>
          </w:p>
        </w:tc>
        <w:tc>
          <w:tcPr>
            <w:tcW w:w="992" w:type="dxa"/>
            <w:tcBorders>
              <w:top w:val="single" w:color="auto" w:sz="4" w:space="0"/>
            </w:tcBorders>
            <w:vAlign w:val="center"/>
          </w:tcPr>
          <w:p>
            <w:pPr>
              <w:widowControl/>
              <w:ind w:firstLine="0" w:firstLineChars="0"/>
              <w:jc w:val="center"/>
              <w:rPr>
                <w:kern w:val="0"/>
                <w:sz w:val="20"/>
                <w:szCs w:val="20"/>
              </w:rPr>
            </w:pPr>
            <w:r>
              <w:rPr>
                <w:kern w:val="0"/>
                <w:sz w:val="20"/>
                <w:szCs w:val="20"/>
              </w:rPr>
              <w:t>47.</w:t>
            </w:r>
            <w:r>
              <w:rPr>
                <w:rFonts w:hint="eastAsia"/>
                <w:kern w:val="0"/>
                <w:sz w:val="20"/>
                <w:szCs w:val="20"/>
              </w:rPr>
              <w:t>34</w:t>
            </w:r>
          </w:p>
        </w:tc>
        <w:tc>
          <w:tcPr>
            <w:tcW w:w="1082" w:type="dxa"/>
            <w:tcBorders>
              <w:top w:val="single" w:color="auto" w:sz="4" w:space="0"/>
            </w:tcBorders>
            <w:vAlign w:val="center"/>
          </w:tcPr>
          <w:p>
            <w:pPr>
              <w:widowControl/>
              <w:ind w:firstLine="0" w:firstLineChars="0"/>
              <w:jc w:val="center"/>
              <w:rPr>
                <w:kern w:val="0"/>
                <w:sz w:val="20"/>
                <w:szCs w:val="20"/>
              </w:rPr>
            </w:pPr>
            <w:r>
              <w:rPr>
                <w:kern w:val="0"/>
                <w:sz w:val="20"/>
                <w:szCs w:val="20"/>
              </w:rPr>
              <w:t>4</w:t>
            </w:r>
            <w:r>
              <w:rPr>
                <w:rFonts w:hint="eastAsia"/>
                <w:kern w:val="0"/>
                <w:sz w:val="20"/>
                <w:szCs w:val="20"/>
              </w:rPr>
              <w:t>6.64</w:t>
            </w:r>
          </w:p>
        </w:tc>
        <w:tc>
          <w:tcPr>
            <w:tcW w:w="1251" w:type="dxa"/>
            <w:tcBorders>
              <w:top w:val="single" w:color="auto" w:sz="4" w:space="0"/>
            </w:tcBorders>
            <w:vAlign w:val="center"/>
          </w:tcPr>
          <w:p>
            <w:pPr>
              <w:widowControl/>
              <w:ind w:firstLine="0" w:firstLineChars="0"/>
              <w:jc w:val="center"/>
              <w:rPr>
                <w:kern w:val="0"/>
                <w:sz w:val="20"/>
                <w:szCs w:val="20"/>
              </w:rPr>
            </w:pPr>
            <w:r>
              <w:rPr>
                <w:kern w:val="0"/>
                <w:sz w:val="20"/>
                <w:szCs w:val="20"/>
              </w:rPr>
              <w:t>3</w:t>
            </w:r>
            <w:r>
              <w:rPr>
                <w:rFonts w:hint="eastAsia"/>
                <w:kern w:val="0"/>
                <w:sz w:val="20"/>
                <w:szCs w:val="20"/>
              </w:rPr>
              <w:t>4.46</w:t>
            </w:r>
          </w:p>
        </w:tc>
        <w:tc>
          <w:tcPr>
            <w:tcW w:w="1276" w:type="dxa"/>
            <w:tcBorders>
              <w:top w:val="single" w:color="auto" w:sz="4" w:space="0"/>
            </w:tcBorders>
            <w:vAlign w:val="center"/>
          </w:tcPr>
          <w:p>
            <w:pPr>
              <w:widowControl/>
              <w:ind w:firstLine="0" w:firstLineChars="0"/>
              <w:jc w:val="center"/>
              <w:rPr>
                <w:kern w:val="0"/>
                <w:sz w:val="20"/>
                <w:szCs w:val="20"/>
              </w:rPr>
            </w:pPr>
            <w:r>
              <w:rPr>
                <w:kern w:val="0"/>
                <w:sz w:val="20"/>
                <w:szCs w:val="20"/>
              </w:rPr>
              <w:t>0.7</w:t>
            </w:r>
            <w:r>
              <w:rPr>
                <w:rFonts w:hint="eastAsia"/>
                <w:kern w:val="0"/>
                <w:sz w:val="20"/>
                <w:szCs w:val="20"/>
              </w:rPr>
              <w:t>3</w:t>
            </w:r>
          </w:p>
        </w:tc>
        <w:tc>
          <w:tcPr>
            <w:tcW w:w="1275" w:type="dxa"/>
            <w:tcBorders>
              <w:top w:val="single" w:color="auto" w:sz="4" w:space="0"/>
            </w:tcBorders>
            <w:vAlign w:val="center"/>
          </w:tcPr>
          <w:p>
            <w:pPr>
              <w:widowControl/>
              <w:ind w:firstLine="0" w:firstLineChars="0"/>
              <w:jc w:val="center"/>
              <w:rPr>
                <w:kern w:val="0"/>
                <w:sz w:val="20"/>
                <w:szCs w:val="20"/>
              </w:rPr>
            </w:pPr>
            <w:r>
              <w:rPr>
                <w:rFonts w:hint="eastAsia"/>
                <w:kern w:val="0"/>
                <w:sz w:val="20"/>
                <w:szCs w:val="20"/>
              </w:rPr>
              <w:t>1.02</w:t>
            </w:r>
          </w:p>
        </w:tc>
        <w:tc>
          <w:tcPr>
            <w:tcW w:w="1276" w:type="dxa"/>
            <w:tcBorders>
              <w:top w:val="single" w:color="auto" w:sz="4" w:space="0"/>
            </w:tcBorders>
            <w:vAlign w:val="center"/>
          </w:tcPr>
          <w:p>
            <w:pPr>
              <w:widowControl/>
              <w:ind w:firstLine="0" w:firstLineChars="0"/>
              <w:jc w:val="center"/>
              <w:rPr>
                <w:kern w:val="0"/>
                <w:sz w:val="20"/>
                <w:szCs w:val="20"/>
              </w:rPr>
            </w:pPr>
            <w:r>
              <w:rPr>
                <w:kern w:val="0"/>
                <w:sz w:val="20"/>
                <w:szCs w:val="20"/>
              </w:rPr>
              <w:t>13</w:t>
            </w:r>
            <w:r>
              <w:rPr>
                <w:rFonts w:hint="eastAsia"/>
                <w:kern w:val="0"/>
                <w:sz w:val="20"/>
                <w:szCs w:val="20"/>
              </w:rPr>
              <w:t>5.79</w:t>
            </w:r>
          </w:p>
        </w:tc>
      </w:tr>
      <w:tr>
        <w:tblPrEx>
          <w:tblLayout w:type="fixed"/>
          <w:tblCellMar>
            <w:top w:w="0" w:type="dxa"/>
            <w:left w:w="108" w:type="dxa"/>
            <w:bottom w:w="0" w:type="dxa"/>
            <w:right w:w="108" w:type="dxa"/>
          </w:tblCellMar>
        </w:tblPrEx>
        <w:trPr>
          <w:trHeight w:val="348" w:hRule="atLeast"/>
          <w:jc w:val="center"/>
        </w:trPr>
        <w:tc>
          <w:tcPr>
            <w:tcW w:w="2102" w:type="dxa"/>
            <w:shd w:val="clear" w:color="000000" w:fill="FFFFFF"/>
            <w:vAlign w:val="center"/>
          </w:tcPr>
          <w:p>
            <w:pPr>
              <w:widowControl/>
              <w:ind w:firstLine="0" w:firstLineChars="0"/>
              <w:jc w:val="center"/>
              <w:rPr>
                <w:kern w:val="0"/>
                <w:sz w:val="20"/>
                <w:szCs w:val="20"/>
              </w:rPr>
            </w:pPr>
            <w:r>
              <w:rPr>
                <w:kern w:val="0"/>
                <w:sz w:val="20"/>
                <w:szCs w:val="20"/>
              </w:rPr>
              <w:t>Longitude</w:t>
            </w:r>
          </w:p>
        </w:tc>
        <w:tc>
          <w:tcPr>
            <w:tcW w:w="992" w:type="dxa"/>
            <w:shd w:val="clear" w:color="000000" w:fill="FFFFFF"/>
            <w:vAlign w:val="center"/>
          </w:tcPr>
          <w:p>
            <w:pPr>
              <w:widowControl/>
              <w:ind w:firstLine="0" w:firstLineChars="0"/>
              <w:jc w:val="center"/>
              <w:rPr>
                <w:kern w:val="0"/>
                <w:sz w:val="20"/>
                <w:szCs w:val="20"/>
              </w:rPr>
            </w:pPr>
            <w:r>
              <w:rPr>
                <w:kern w:val="0"/>
                <w:sz w:val="20"/>
                <w:szCs w:val="20"/>
              </w:rPr>
              <w:t>117.48</w:t>
            </w:r>
          </w:p>
        </w:tc>
        <w:tc>
          <w:tcPr>
            <w:tcW w:w="1082" w:type="dxa"/>
            <w:shd w:val="clear" w:color="000000" w:fill="FFFFFF"/>
            <w:vAlign w:val="center"/>
          </w:tcPr>
          <w:p>
            <w:pPr>
              <w:widowControl/>
              <w:ind w:firstLine="0" w:firstLineChars="0"/>
              <w:jc w:val="center"/>
              <w:rPr>
                <w:kern w:val="0"/>
                <w:sz w:val="20"/>
                <w:szCs w:val="20"/>
              </w:rPr>
            </w:pPr>
            <w:r>
              <w:rPr>
                <w:kern w:val="0"/>
                <w:sz w:val="20"/>
                <w:szCs w:val="20"/>
              </w:rPr>
              <w:t>117.47</w:t>
            </w:r>
          </w:p>
        </w:tc>
        <w:tc>
          <w:tcPr>
            <w:tcW w:w="1251" w:type="dxa"/>
            <w:shd w:val="clear" w:color="000000" w:fill="FFFFFF"/>
            <w:vAlign w:val="center"/>
          </w:tcPr>
          <w:p>
            <w:pPr>
              <w:widowControl/>
              <w:ind w:firstLine="0" w:firstLineChars="0"/>
              <w:jc w:val="center"/>
              <w:rPr>
                <w:kern w:val="0"/>
                <w:sz w:val="20"/>
                <w:szCs w:val="20"/>
              </w:rPr>
            </w:pPr>
            <w:r>
              <w:rPr>
                <w:kern w:val="0"/>
                <w:sz w:val="20"/>
                <w:szCs w:val="20"/>
              </w:rPr>
              <w:t>0.02</w:t>
            </w:r>
          </w:p>
        </w:tc>
        <w:tc>
          <w:tcPr>
            <w:tcW w:w="1276" w:type="dxa"/>
            <w:shd w:val="clear" w:color="000000" w:fill="FFFFFF"/>
            <w:vAlign w:val="center"/>
          </w:tcPr>
          <w:p>
            <w:pPr>
              <w:widowControl/>
              <w:ind w:firstLine="0" w:firstLineChars="0"/>
              <w:jc w:val="center"/>
              <w:rPr>
                <w:kern w:val="0"/>
                <w:sz w:val="20"/>
                <w:szCs w:val="20"/>
              </w:rPr>
            </w:pPr>
            <w:r>
              <w:rPr>
                <w:kern w:val="0"/>
                <w:sz w:val="20"/>
                <w:szCs w:val="20"/>
              </w:rPr>
              <w:t>0.13*10</w:t>
            </w:r>
            <w:r>
              <w:rPr>
                <w:kern w:val="0"/>
                <w:sz w:val="20"/>
                <w:szCs w:val="20"/>
                <w:vertAlign w:val="superscript"/>
              </w:rPr>
              <w:t>-5</w:t>
            </w:r>
          </w:p>
        </w:tc>
        <w:tc>
          <w:tcPr>
            <w:tcW w:w="1275" w:type="dxa"/>
            <w:shd w:val="clear" w:color="000000" w:fill="FFFFFF"/>
            <w:vAlign w:val="center"/>
          </w:tcPr>
          <w:p>
            <w:pPr>
              <w:widowControl/>
              <w:ind w:firstLine="0" w:firstLineChars="0"/>
              <w:jc w:val="center"/>
              <w:rPr>
                <w:color w:val="FF0000"/>
                <w:kern w:val="0"/>
                <w:sz w:val="20"/>
                <w:szCs w:val="20"/>
              </w:rPr>
            </w:pPr>
            <w:r>
              <w:rPr>
                <w:color w:val="FF0000"/>
                <w:kern w:val="0"/>
                <w:sz w:val="20"/>
                <w:szCs w:val="20"/>
              </w:rPr>
              <w:t>117.4</w:t>
            </w:r>
            <w:r>
              <w:rPr>
                <w:rFonts w:hint="eastAsia"/>
                <w:color w:val="FF0000"/>
                <w:kern w:val="0"/>
                <w:sz w:val="20"/>
                <w:szCs w:val="20"/>
              </w:rPr>
              <w:t>46</w:t>
            </w:r>
          </w:p>
        </w:tc>
        <w:tc>
          <w:tcPr>
            <w:tcW w:w="1276" w:type="dxa"/>
            <w:shd w:val="clear" w:color="000000" w:fill="FFFFFF"/>
            <w:vAlign w:val="center"/>
          </w:tcPr>
          <w:p>
            <w:pPr>
              <w:widowControl/>
              <w:ind w:firstLine="0" w:firstLineChars="0"/>
              <w:jc w:val="center"/>
              <w:rPr>
                <w:color w:val="FF0000"/>
                <w:kern w:val="0"/>
                <w:sz w:val="20"/>
                <w:szCs w:val="20"/>
              </w:rPr>
            </w:pPr>
            <w:r>
              <w:rPr>
                <w:color w:val="FF0000"/>
                <w:kern w:val="0"/>
                <w:sz w:val="20"/>
                <w:szCs w:val="20"/>
              </w:rPr>
              <w:t>117.5</w:t>
            </w:r>
            <w:r>
              <w:rPr>
                <w:rFonts w:hint="eastAsia"/>
                <w:color w:val="FF0000"/>
                <w:kern w:val="0"/>
                <w:sz w:val="20"/>
                <w:szCs w:val="20"/>
              </w:rPr>
              <w:t>03</w:t>
            </w:r>
          </w:p>
        </w:tc>
      </w:tr>
      <w:tr>
        <w:tblPrEx>
          <w:tblLayout w:type="fixed"/>
          <w:tblCellMar>
            <w:top w:w="0" w:type="dxa"/>
            <w:left w:w="108" w:type="dxa"/>
            <w:bottom w:w="0" w:type="dxa"/>
            <w:right w:w="108" w:type="dxa"/>
          </w:tblCellMar>
        </w:tblPrEx>
        <w:trPr>
          <w:trHeight w:val="348" w:hRule="atLeast"/>
          <w:jc w:val="center"/>
        </w:trPr>
        <w:tc>
          <w:tcPr>
            <w:tcW w:w="2102" w:type="dxa"/>
            <w:shd w:val="clear" w:color="000000" w:fill="FFFFFF"/>
            <w:vAlign w:val="center"/>
          </w:tcPr>
          <w:p>
            <w:pPr>
              <w:widowControl/>
              <w:ind w:firstLine="0" w:firstLineChars="0"/>
              <w:jc w:val="center"/>
              <w:rPr>
                <w:kern w:val="0"/>
                <w:sz w:val="20"/>
                <w:szCs w:val="20"/>
              </w:rPr>
            </w:pPr>
            <w:bookmarkStart w:id="95" w:name="OLE_LINK3"/>
            <w:bookmarkStart w:id="96" w:name="OLE_LINK2"/>
            <w:r>
              <w:rPr>
                <w:kern w:val="0"/>
                <w:sz w:val="20"/>
                <w:szCs w:val="20"/>
              </w:rPr>
              <w:t xml:space="preserve">Diameter at breast height, </w:t>
            </w:r>
            <w:bookmarkEnd w:id="95"/>
            <w:bookmarkEnd w:id="96"/>
            <w:r>
              <w:rPr>
                <w:kern w:val="0"/>
                <w:sz w:val="20"/>
                <w:szCs w:val="20"/>
              </w:rPr>
              <w:t xml:space="preserve">DBH </w:t>
            </w:r>
            <w:r>
              <w:rPr>
                <w:sz w:val="20"/>
                <w:szCs w:val="20"/>
              </w:rPr>
              <w:t>(cm)</w:t>
            </w:r>
          </w:p>
        </w:tc>
        <w:tc>
          <w:tcPr>
            <w:tcW w:w="992" w:type="dxa"/>
            <w:shd w:val="clear" w:color="000000" w:fill="FFFFFF"/>
            <w:vAlign w:val="center"/>
          </w:tcPr>
          <w:p>
            <w:pPr>
              <w:widowControl/>
              <w:ind w:firstLine="0" w:firstLineChars="0"/>
              <w:jc w:val="center"/>
              <w:rPr>
                <w:kern w:val="0"/>
                <w:sz w:val="20"/>
                <w:szCs w:val="20"/>
              </w:rPr>
            </w:pPr>
            <w:r>
              <w:rPr>
                <w:kern w:val="0"/>
                <w:sz w:val="20"/>
                <w:szCs w:val="20"/>
              </w:rPr>
              <w:t>12.29</w:t>
            </w:r>
          </w:p>
        </w:tc>
        <w:tc>
          <w:tcPr>
            <w:tcW w:w="1082" w:type="dxa"/>
            <w:shd w:val="clear" w:color="000000" w:fill="FFFFFF"/>
            <w:vAlign w:val="center"/>
          </w:tcPr>
          <w:p>
            <w:pPr>
              <w:widowControl/>
              <w:ind w:firstLine="0" w:firstLineChars="0"/>
              <w:jc w:val="center"/>
              <w:rPr>
                <w:kern w:val="0"/>
                <w:sz w:val="20"/>
                <w:szCs w:val="20"/>
              </w:rPr>
            </w:pPr>
            <w:r>
              <w:rPr>
                <w:kern w:val="0"/>
                <w:sz w:val="20"/>
                <w:szCs w:val="20"/>
              </w:rPr>
              <w:t>13.19</w:t>
            </w:r>
          </w:p>
        </w:tc>
        <w:tc>
          <w:tcPr>
            <w:tcW w:w="1251" w:type="dxa"/>
            <w:shd w:val="clear" w:color="000000" w:fill="FFFFFF"/>
            <w:vAlign w:val="center"/>
          </w:tcPr>
          <w:p>
            <w:pPr>
              <w:widowControl/>
              <w:ind w:firstLine="0" w:firstLineChars="0"/>
              <w:jc w:val="center"/>
              <w:rPr>
                <w:kern w:val="0"/>
                <w:sz w:val="20"/>
                <w:szCs w:val="20"/>
              </w:rPr>
            </w:pPr>
            <w:r>
              <w:rPr>
                <w:kern w:val="0"/>
                <w:sz w:val="20"/>
                <w:szCs w:val="20"/>
              </w:rPr>
              <w:t>4.48</w:t>
            </w:r>
          </w:p>
        </w:tc>
        <w:tc>
          <w:tcPr>
            <w:tcW w:w="1276" w:type="dxa"/>
            <w:shd w:val="clear" w:color="000000" w:fill="FFFFFF"/>
            <w:vAlign w:val="center"/>
          </w:tcPr>
          <w:p>
            <w:pPr>
              <w:widowControl/>
              <w:ind w:firstLine="0" w:firstLineChars="0"/>
              <w:jc w:val="center"/>
              <w:rPr>
                <w:kern w:val="0"/>
                <w:sz w:val="20"/>
                <w:szCs w:val="20"/>
              </w:rPr>
            </w:pPr>
            <w:r>
              <w:rPr>
                <w:kern w:val="0"/>
                <w:sz w:val="20"/>
                <w:szCs w:val="20"/>
              </w:rPr>
              <w:t>0.36</w:t>
            </w:r>
          </w:p>
        </w:tc>
        <w:tc>
          <w:tcPr>
            <w:tcW w:w="1275" w:type="dxa"/>
            <w:shd w:val="clear" w:color="000000" w:fill="FFFFFF"/>
            <w:vAlign w:val="center"/>
          </w:tcPr>
          <w:p>
            <w:pPr>
              <w:widowControl/>
              <w:ind w:firstLine="0" w:firstLineChars="0"/>
              <w:jc w:val="center"/>
              <w:rPr>
                <w:kern w:val="0"/>
                <w:sz w:val="20"/>
                <w:szCs w:val="20"/>
              </w:rPr>
            </w:pPr>
            <w:r>
              <w:rPr>
                <w:kern w:val="0"/>
                <w:sz w:val="20"/>
                <w:szCs w:val="20"/>
              </w:rPr>
              <w:t>2.19</w:t>
            </w:r>
          </w:p>
        </w:tc>
        <w:tc>
          <w:tcPr>
            <w:tcW w:w="1276" w:type="dxa"/>
            <w:shd w:val="clear" w:color="000000" w:fill="FFFFFF"/>
            <w:vAlign w:val="center"/>
          </w:tcPr>
          <w:p>
            <w:pPr>
              <w:widowControl/>
              <w:ind w:firstLine="0" w:firstLineChars="0"/>
              <w:jc w:val="center"/>
              <w:rPr>
                <w:kern w:val="0"/>
                <w:sz w:val="20"/>
                <w:szCs w:val="20"/>
              </w:rPr>
            </w:pPr>
            <w:r>
              <w:rPr>
                <w:kern w:val="0"/>
                <w:sz w:val="20"/>
                <w:szCs w:val="20"/>
              </w:rPr>
              <w:t>17.99</w:t>
            </w:r>
          </w:p>
        </w:tc>
      </w:tr>
      <w:tr>
        <w:tblPrEx>
          <w:tblLayout w:type="fixed"/>
          <w:tblCellMar>
            <w:top w:w="0" w:type="dxa"/>
            <w:left w:w="108" w:type="dxa"/>
            <w:bottom w:w="0" w:type="dxa"/>
            <w:right w:w="108" w:type="dxa"/>
          </w:tblCellMar>
        </w:tblPrEx>
        <w:trPr>
          <w:trHeight w:val="348" w:hRule="atLeast"/>
          <w:jc w:val="center"/>
        </w:trPr>
        <w:tc>
          <w:tcPr>
            <w:tcW w:w="2102" w:type="dxa"/>
            <w:shd w:val="clear" w:color="000000" w:fill="FFFFFF"/>
            <w:vAlign w:val="center"/>
          </w:tcPr>
          <w:p>
            <w:pPr>
              <w:widowControl/>
              <w:ind w:firstLine="0" w:firstLineChars="0"/>
              <w:jc w:val="center"/>
              <w:rPr>
                <w:kern w:val="0"/>
                <w:sz w:val="20"/>
                <w:szCs w:val="20"/>
              </w:rPr>
            </w:pPr>
            <w:r>
              <w:rPr>
                <w:kern w:val="0"/>
                <w:sz w:val="20"/>
                <w:szCs w:val="20"/>
              </w:rPr>
              <w:t xml:space="preserve">Tree height, h </w:t>
            </w:r>
            <w:r>
              <w:rPr>
                <w:sz w:val="20"/>
                <w:szCs w:val="20"/>
              </w:rPr>
              <w:t>(m)</w:t>
            </w:r>
          </w:p>
        </w:tc>
        <w:tc>
          <w:tcPr>
            <w:tcW w:w="992" w:type="dxa"/>
            <w:shd w:val="clear" w:color="000000" w:fill="FFFFFF"/>
            <w:vAlign w:val="center"/>
          </w:tcPr>
          <w:p>
            <w:pPr>
              <w:widowControl/>
              <w:ind w:firstLine="0" w:firstLineChars="0"/>
              <w:jc w:val="center"/>
              <w:rPr>
                <w:kern w:val="0"/>
                <w:sz w:val="20"/>
                <w:szCs w:val="20"/>
              </w:rPr>
            </w:pPr>
            <w:r>
              <w:rPr>
                <w:kern w:val="0"/>
                <w:sz w:val="20"/>
                <w:szCs w:val="20"/>
              </w:rPr>
              <w:t>12.98</w:t>
            </w:r>
          </w:p>
        </w:tc>
        <w:tc>
          <w:tcPr>
            <w:tcW w:w="1082" w:type="dxa"/>
            <w:shd w:val="clear" w:color="000000" w:fill="FFFFFF"/>
            <w:vAlign w:val="center"/>
          </w:tcPr>
          <w:p>
            <w:pPr>
              <w:widowControl/>
              <w:ind w:firstLine="0" w:firstLineChars="0"/>
              <w:jc w:val="center"/>
              <w:rPr>
                <w:kern w:val="0"/>
                <w:sz w:val="20"/>
                <w:szCs w:val="20"/>
              </w:rPr>
            </w:pPr>
            <w:r>
              <w:rPr>
                <w:kern w:val="0"/>
                <w:sz w:val="20"/>
                <w:szCs w:val="20"/>
              </w:rPr>
              <w:t>14.42</w:t>
            </w:r>
          </w:p>
        </w:tc>
        <w:tc>
          <w:tcPr>
            <w:tcW w:w="1251" w:type="dxa"/>
            <w:shd w:val="clear" w:color="000000" w:fill="FFFFFF"/>
            <w:vAlign w:val="center"/>
          </w:tcPr>
          <w:p>
            <w:pPr>
              <w:widowControl/>
              <w:ind w:firstLine="0" w:firstLineChars="0"/>
              <w:jc w:val="center"/>
              <w:rPr>
                <w:kern w:val="0"/>
                <w:sz w:val="20"/>
                <w:szCs w:val="20"/>
              </w:rPr>
            </w:pPr>
            <w:r>
              <w:rPr>
                <w:kern w:val="0"/>
                <w:sz w:val="20"/>
                <w:szCs w:val="20"/>
              </w:rPr>
              <w:t>4.72</w:t>
            </w:r>
          </w:p>
        </w:tc>
        <w:tc>
          <w:tcPr>
            <w:tcW w:w="1276" w:type="dxa"/>
            <w:shd w:val="clear" w:color="000000" w:fill="FFFFFF"/>
            <w:vAlign w:val="center"/>
          </w:tcPr>
          <w:p>
            <w:pPr>
              <w:widowControl/>
              <w:ind w:firstLine="0" w:firstLineChars="0"/>
              <w:jc w:val="center"/>
              <w:rPr>
                <w:kern w:val="0"/>
                <w:sz w:val="20"/>
                <w:szCs w:val="20"/>
              </w:rPr>
            </w:pPr>
            <w:r>
              <w:rPr>
                <w:kern w:val="0"/>
                <w:sz w:val="20"/>
                <w:szCs w:val="20"/>
              </w:rPr>
              <w:t>0.36</w:t>
            </w:r>
          </w:p>
        </w:tc>
        <w:tc>
          <w:tcPr>
            <w:tcW w:w="1275" w:type="dxa"/>
            <w:shd w:val="clear" w:color="000000" w:fill="FFFFFF"/>
            <w:vAlign w:val="center"/>
          </w:tcPr>
          <w:p>
            <w:pPr>
              <w:widowControl/>
              <w:ind w:firstLine="0" w:firstLineChars="0"/>
              <w:jc w:val="center"/>
              <w:rPr>
                <w:kern w:val="0"/>
                <w:sz w:val="20"/>
                <w:szCs w:val="20"/>
              </w:rPr>
            </w:pPr>
            <w:r>
              <w:rPr>
                <w:kern w:val="0"/>
                <w:sz w:val="20"/>
                <w:szCs w:val="20"/>
              </w:rPr>
              <w:t>2.83</w:t>
            </w:r>
          </w:p>
        </w:tc>
        <w:tc>
          <w:tcPr>
            <w:tcW w:w="1276" w:type="dxa"/>
            <w:shd w:val="clear" w:color="000000" w:fill="FFFFFF"/>
            <w:vAlign w:val="center"/>
          </w:tcPr>
          <w:p>
            <w:pPr>
              <w:widowControl/>
              <w:ind w:firstLine="0" w:firstLineChars="0"/>
              <w:jc w:val="center"/>
              <w:rPr>
                <w:kern w:val="0"/>
                <w:sz w:val="20"/>
                <w:szCs w:val="20"/>
              </w:rPr>
            </w:pPr>
            <w:r>
              <w:rPr>
                <w:kern w:val="0"/>
                <w:sz w:val="20"/>
                <w:szCs w:val="20"/>
              </w:rPr>
              <w:t>18.23</w:t>
            </w:r>
          </w:p>
        </w:tc>
      </w:tr>
      <w:tr>
        <w:tblPrEx>
          <w:tblLayout w:type="fixed"/>
          <w:tblCellMar>
            <w:top w:w="0" w:type="dxa"/>
            <w:left w:w="108" w:type="dxa"/>
            <w:bottom w:w="0" w:type="dxa"/>
            <w:right w:w="108" w:type="dxa"/>
          </w:tblCellMar>
        </w:tblPrEx>
        <w:trPr>
          <w:trHeight w:val="348" w:hRule="atLeast"/>
          <w:jc w:val="center"/>
        </w:trPr>
        <w:tc>
          <w:tcPr>
            <w:tcW w:w="2102"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 xml:space="preserve">Age </w:t>
            </w:r>
            <w:r>
              <w:rPr>
                <w:sz w:val="20"/>
                <w:szCs w:val="20"/>
              </w:rPr>
              <w:t>(years)</w:t>
            </w:r>
          </w:p>
        </w:tc>
        <w:tc>
          <w:tcPr>
            <w:tcW w:w="992"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5.5</w:t>
            </w:r>
          </w:p>
        </w:tc>
        <w:tc>
          <w:tcPr>
            <w:tcW w:w="1082"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5.5</w:t>
            </w:r>
          </w:p>
        </w:tc>
        <w:tc>
          <w:tcPr>
            <w:tcW w:w="1251"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2.92</w:t>
            </w:r>
          </w:p>
        </w:tc>
        <w:tc>
          <w:tcPr>
            <w:tcW w:w="1276"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0.53</w:t>
            </w:r>
          </w:p>
        </w:tc>
        <w:tc>
          <w:tcPr>
            <w:tcW w:w="1275"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1</w:t>
            </w:r>
          </w:p>
        </w:tc>
        <w:tc>
          <w:tcPr>
            <w:tcW w:w="1276" w:type="dxa"/>
            <w:tcBorders>
              <w:bottom w:val="single" w:color="auto" w:sz="12" w:space="0"/>
            </w:tcBorders>
            <w:shd w:val="clear" w:color="000000" w:fill="FFFFFF"/>
            <w:vAlign w:val="center"/>
          </w:tcPr>
          <w:p>
            <w:pPr>
              <w:widowControl/>
              <w:ind w:firstLine="0" w:firstLineChars="0"/>
              <w:jc w:val="center"/>
              <w:rPr>
                <w:kern w:val="0"/>
                <w:sz w:val="20"/>
                <w:szCs w:val="20"/>
              </w:rPr>
            </w:pPr>
            <w:r>
              <w:rPr>
                <w:kern w:val="0"/>
                <w:sz w:val="20"/>
                <w:szCs w:val="20"/>
              </w:rPr>
              <w:t>10</w:t>
            </w:r>
          </w:p>
        </w:tc>
      </w:tr>
    </w:tbl>
    <w:p>
      <w:pPr>
        <w:widowControl/>
        <w:spacing w:line="240" w:lineRule="auto"/>
        <w:ind w:firstLine="0" w:firstLineChars="0"/>
        <w:jc w:val="left"/>
      </w:pPr>
      <w:r>
        <w:br w:type="page"/>
      </w:r>
    </w:p>
    <w:p>
      <w:pPr>
        <w:ind w:firstLine="402"/>
        <w:jc w:val="center"/>
        <w:outlineLvl w:val="1"/>
        <w:rPr>
          <w:rFonts w:eastAsia="FangSong_GB2312"/>
          <w:sz w:val="20"/>
          <w:szCs w:val="20"/>
        </w:rPr>
      </w:pPr>
      <w:bookmarkStart w:id="97" w:name="_Toc506920676"/>
      <w:bookmarkStart w:id="98" w:name="_Toc520101996"/>
      <w:bookmarkStart w:id="99" w:name="_Toc16497"/>
      <w:bookmarkStart w:id="100" w:name="OLE_LINK85"/>
      <w:bookmarkStart w:id="101" w:name="OLE_LINK84"/>
      <w:r>
        <w:rPr>
          <w:b/>
          <w:bCs/>
          <w:sz w:val="20"/>
          <w:szCs w:val="20"/>
        </w:rPr>
        <w:t xml:space="preserve">Table </w:t>
      </w:r>
      <w:r>
        <w:rPr>
          <w:rFonts w:hint="eastAsia"/>
          <w:b/>
          <w:bCs/>
          <w:sz w:val="20"/>
          <w:szCs w:val="20"/>
        </w:rPr>
        <w:t>B.</w:t>
      </w:r>
      <w:r>
        <w:rPr>
          <w:b/>
          <w:bCs/>
          <w:sz w:val="20"/>
          <w:szCs w:val="20"/>
        </w:rPr>
        <w:t>5</w:t>
      </w:r>
      <w:r>
        <w:rPr>
          <w:sz w:val="20"/>
          <w:szCs w:val="20"/>
        </w:rPr>
        <w:t xml:space="preserve"> </w:t>
      </w:r>
      <w:r>
        <w:rPr>
          <w:rFonts w:eastAsia="FangSong_GB2312"/>
          <w:sz w:val="20"/>
          <w:szCs w:val="20"/>
        </w:rPr>
        <w:t xml:space="preserve">List of </w:t>
      </w:r>
      <w:bookmarkStart w:id="102" w:name="OLE_LINK6"/>
      <w:bookmarkStart w:id="103" w:name="OLE_LINK5"/>
      <w:r>
        <w:rPr>
          <w:rFonts w:eastAsia="FangSong_GB2312"/>
          <w:sz w:val="20"/>
          <w:szCs w:val="20"/>
        </w:rPr>
        <w:t xml:space="preserve">model accuracy </w:t>
      </w:r>
      <w:bookmarkEnd w:id="102"/>
      <w:bookmarkEnd w:id="103"/>
      <w:r>
        <w:rPr>
          <w:rFonts w:eastAsia="FangSong_GB2312"/>
          <w:sz w:val="20"/>
          <w:szCs w:val="20"/>
        </w:rPr>
        <w:t>indexes and their definitions.</w:t>
      </w:r>
      <w:bookmarkEnd w:id="97"/>
      <w:bookmarkEnd w:id="98"/>
      <w:bookmarkEnd w:id="99"/>
    </w:p>
    <w:p>
      <w:pPr>
        <w:ind w:firstLine="400"/>
        <w:jc w:val="center"/>
        <w:rPr>
          <w:rFonts w:eastAsia="FangSong_GB2312"/>
          <w:sz w:val="20"/>
          <w:szCs w:val="20"/>
        </w:rPr>
      </w:pPr>
    </w:p>
    <w:tbl>
      <w:tblPr>
        <w:tblStyle w:val="16"/>
        <w:tblW w:w="9761" w:type="dxa"/>
        <w:tblInd w:w="93"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779"/>
        <w:gridCol w:w="3947"/>
        <w:gridCol w:w="4035"/>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65" w:hRule="atLeast"/>
        </w:trPr>
        <w:tc>
          <w:tcPr>
            <w:tcW w:w="1779" w:type="dxa"/>
            <w:tcBorders>
              <w:top w:val="single" w:color="auto" w:sz="4" w:space="0"/>
              <w:bottom w:val="single" w:color="auto" w:sz="4" w:space="0"/>
            </w:tcBorders>
            <w:vAlign w:val="center"/>
          </w:tcPr>
          <w:p>
            <w:pPr>
              <w:widowControl/>
              <w:ind w:firstLine="402"/>
              <w:jc w:val="left"/>
              <w:rPr>
                <w:b/>
                <w:sz w:val="20"/>
                <w:szCs w:val="20"/>
              </w:rPr>
            </w:pPr>
            <w:r>
              <w:rPr>
                <w:b/>
                <w:sz w:val="20"/>
                <w:szCs w:val="20"/>
              </w:rPr>
              <w:t>Model accuracy index</w:t>
            </w:r>
          </w:p>
        </w:tc>
        <w:tc>
          <w:tcPr>
            <w:tcW w:w="3947" w:type="dxa"/>
            <w:tcBorders>
              <w:top w:val="single" w:color="auto" w:sz="4" w:space="0"/>
              <w:bottom w:val="single" w:color="auto" w:sz="4" w:space="0"/>
            </w:tcBorders>
            <w:vAlign w:val="center"/>
          </w:tcPr>
          <w:p>
            <w:pPr>
              <w:widowControl/>
              <w:ind w:firstLine="402"/>
              <w:jc w:val="left"/>
              <w:rPr>
                <w:b/>
                <w:sz w:val="20"/>
                <w:szCs w:val="20"/>
              </w:rPr>
            </w:pPr>
            <w:r>
              <w:rPr>
                <w:b/>
                <w:sz w:val="20"/>
                <w:szCs w:val="20"/>
              </w:rPr>
              <w:t>Description</w:t>
            </w:r>
          </w:p>
        </w:tc>
        <w:tc>
          <w:tcPr>
            <w:tcW w:w="4035" w:type="dxa"/>
            <w:tcBorders>
              <w:top w:val="single" w:color="auto" w:sz="4" w:space="0"/>
              <w:bottom w:val="single" w:color="auto" w:sz="4" w:space="0"/>
            </w:tcBorders>
            <w:vAlign w:val="center"/>
          </w:tcPr>
          <w:p>
            <w:pPr>
              <w:widowControl/>
              <w:ind w:firstLine="402"/>
              <w:jc w:val="left"/>
              <w:rPr>
                <w:b/>
                <w:sz w:val="20"/>
                <w:szCs w:val="20"/>
              </w:rPr>
            </w:pPr>
            <w:r>
              <w:rPr>
                <w:b/>
                <w:sz w:val="20"/>
                <w:szCs w:val="20"/>
              </w:rPr>
              <w:t>Interpretation</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983" w:hRule="atLeast"/>
        </w:trPr>
        <w:tc>
          <w:tcPr>
            <w:tcW w:w="1779" w:type="dxa"/>
            <w:tcBorders>
              <w:top w:val="nil"/>
              <w:bottom w:val="nil"/>
            </w:tcBorders>
            <w:vAlign w:val="center"/>
          </w:tcPr>
          <w:p>
            <w:pPr>
              <w:widowControl/>
              <w:ind w:firstLine="0" w:firstLineChars="0"/>
              <w:jc w:val="left"/>
              <w:rPr>
                <w:sz w:val="20"/>
                <w:szCs w:val="20"/>
              </w:rPr>
            </w:pPr>
            <w:bookmarkStart w:id="104" w:name="OLE_LINK1"/>
            <w:r>
              <w:rPr>
                <w:sz w:val="20"/>
                <w:szCs w:val="20"/>
              </w:rPr>
              <w:t>Mean Absolute Error</w:t>
            </w:r>
          </w:p>
          <w:p>
            <w:pPr>
              <w:widowControl/>
              <w:ind w:firstLine="0" w:firstLineChars="0"/>
              <w:jc w:val="left"/>
              <w:rPr>
                <w:b/>
                <w:sz w:val="20"/>
                <w:szCs w:val="20"/>
              </w:rPr>
            </w:pPr>
            <w:r>
              <w:rPr>
                <w:sz w:val="20"/>
                <w:szCs w:val="20"/>
              </w:rPr>
              <w:t>(MAE)</w:t>
            </w:r>
            <w:bookmarkEnd w:id="104"/>
          </w:p>
        </w:tc>
        <w:tc>
          <w:tcPr>
            <w:tcW w:w="3947" w:type="dxa"/>
            <w:tcBorders>
              <w:top w:val="nil"/>
              <w:bottom w:val="nil"/>
            </w:tcBorders>
            <w:vAlign w:val="center"/>
          </w:tcPr>
          <w:p>
            <w:pPr>
              <w:widowControl/>
              <w:ind w:firstLine="0" w:firstLineChars="0"/>
              <w:jc w:val="left"/>
              <w:rPr>
                <w:b/>
                <w:sz w:val="20"/>
                <w:szCs w:val="20"/>
              </w:rPr>
            </w:pPr>
            <w:r>
              <w:rPr>
                <w:sz w:val="20"/>
                <w:szCs w:val="20"/>
              </w:rPr>
              <w:t>Mean absolute error is the mean of the absolute deviations of all individual measurements from arithmetical mean values.</w:t>
            </w:r>
          </w:p>
        </w:tc>
        <w:tc>
          <w:tcPr>
            <w:tcW w:w="4035" w:type="dxa"/>
            <w:tcBorders>
              <w:top w:val="nil"/>
              <w:bottom w:val="nil"/>
            </w:tcBorders>
            <w:vAlign w:val="center"/>
          </w:tcPr>
          <w:p>
            <w:pPr>
              <w:widowControl/>
              <w:ind w:firstLine="0" w:firstLineChars="0"/>
              <w:jc w:val="left"/>
              <w:rPr>
                <w:sz w:val="20"/>
                <w:szCs w:val="20"/>
              </w:rPr>
            </w:pPr>
            <w:r>
              <w:rPr>
                <w:sz w:val="20"/>
                <w:szCs w:val="20"/>
              </w:rPr>
              <w:t>This represents the mean of absolute deviations of the true biomass of the 30 sample plots from the average biomass of the 30 sample plots obtained by a given prediction method. Because the deviations are expressed in absolute values, the mean absolute error is not cancelled out by positive and negative numbers. Therefore, the mean absolute error can better reflect the actual prediction error.</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653" w:hRule="atLeast"/>
        </w:trPr>
        <w:tc>
          <w:tcPr>
            <w:tcW w:w="1779" w:type="dxa"/>
            <w:tcBorders>
              <w:top w:val="nil"/>
              <w:bottom w:val="nil"/>
            </w:tcBorders>
            <w:vAlign w:val="center"/>
          </w:tcPr>
          <w:p>
            <w:pPr>
              <w:widowControl/>
              <w:ind w:firstLine="0" w:firstLineChars="0"/>
              <w:jc w:val="left"/>
              <w:rPr>
                <w:sz w:val="20"/>
                <w:szCs w:val="20"/>
              </w:rPr>
            </w:pPr>
            <w:r>
              <w:rPr>
                <w:sz w:val="20"/>
                <w:szCs w:val="20"/>
              </w:rPr>
              <w:t>Mean Relative Error</w:t>
            </w:r>
          </w:p>
          <w:p>
            <w:pPr>
              <w:widowControl/>
              <w:ind w:firstLine="0" w:firstLineChars="0"/>
              <w:jc w:val="left"/>
              <w:rPr>
                <w:sz w:val="20"/>
                <w:szCs w:val="20"/>
              </w:rPr>
            </w:pPr>
            <w:r>
              <w:rPr>
                <w:sz w:val="20"/>
                <w:szCs w:val="20"/>
              </w:rPr>
              <w:t>(MRE)</w:t>
            </w:r>
          </w:p>
        </w:tc>
        <w:tc>
          <w:tcPr>
            <w:tcW w:w="3947" w:type="dxa"/>
            <w:tcBorders>
              <w:top w:val="nil"/>
              <w:bottom w:val="nil"/>
            </w:tcBorders>
            <w:vAlign w:val="center"/>
          </w:tcPr>
          <w:p>
            <w:pPr>
              <w:widowControl/>
              <w:ind w:firstLine="0" w:firstLineChars="0"/>
              <w:jc w:val="left"/>
              <w:rPr>
                <w:rFonts w:ascii="Arial" w:hAnsi="Arial" w:cs="Arial"/>
                <w:sz w:val="20"/>
                <w:szCs w:val="20"/>
                <w:shd w:val="clear" w:color="auto" w:fill="FFFFFF"/>
              </w:rPr>
            </w:pPr>
            <w:r>
              <w:rPr>
                <w:sz w:val="20"/>
                <w:szCs w:val="20"/>
              </w:rPr>
              <w:t>Mean relative error is the average value of the relative error, which is usually expressed as the absolute value (i.e., the absolute value of mean relative error). The relative error is the ratio of the absolute error to the measured value or the average of multiple measurements.</w:t>
            </w:r>
          </w:p>
        </w:tc>
        <w:tc>
          <w:tcPr>
            <w:tcW w:w="4035" w:type="dxa"/>
            <w:tcBorders>
              <w:top w:val="nil"/>
              <w:bottom w:val="nil"/>
            </w:tcBorders>
            <w:vAlign w:val="center"/>
          </w:tcPr>
          <w:p>
            <w:pPr>
              <w:widowControl/>
              <w:ind w:firstLine="0" w:firstLineChars="0"/>
              <w:jc w:val="left"/>
              <w:rPr>
                <w:sz w:val="20"/>
                <w:szCs w:val="20"/>
              </w:rPr>
            </w:pPr>
            <w:r>
              <w:rPr>
                <w:sz w:val="20"/>
                <w:szCs w:val="20"/>
              </w:rPr>
              <w:t>This represents the average value of the ratio of the absolute error (the absolute value of the difference between the true value and the simulated value) for the biomass of each of the 30 sample plots to the predicted values. It is used to analyze the accuracy and precision of the results.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33" w:hRule="atLeast"/>
        </w:trPr>
        <w:tc>
          <w:tcPr>
            <w:tcW w:w="1779" w:type="dxa"/>
            <w:tcBorders>
              <w:top w:val="nil"/>
              <w:bottom w:val="nil"/>
            </w:tcBorders>
            <w:vAlign w:val="center"/>
          </w:tcPr>
          <w:p>
            <w:pPr>
              <w:widowControl/>
              <w:ind w:firstLine="0" w:firstLineChars="0"/>
              <w:jc w:val="left"/>
              <w:rPr>
                <w:sz w:val="20"/>
                <w:szCs w:val="20"/>
              </w:rPr>
            </w:pPr>
            <w:r>
              <w:rPr>
                <w:sz w:val="20"/>
                <w:szCs w:val="20"/>
              </w:rPr>
              <w:t>Root Mean Square Error</w:t>
            </w:r>
          </w:p>
          <w:p>
            <w:pPr>
              <w:widowControl/>
              <w:ind w:firstLine="0" w:firstLineChars="0"/>
              <w:jc w:val="left"/>
              <w:rPr>
                <w:sz w:val="20"/>
                <w:szCs w:val="20"/>
              </w:rPr>
            </w:pPr>
            <w:r>
              <w:rPr>
                <w:sz w:val="20"/>
                <w:szCs w:val="20"/>
              </w:rPr>
              <w:t>(RMSE)</w:t>
            </w:r>
          </w:p>
        </w:tc>
        <w:tc>
          <w:tcPr>
            <w:tcW w:w="3947" w:type="dxa"/>
            <w:tcBorders>
              <w:top w:val="nil"/>
              <w:bottom w:val="nil"/>
            </w:tcBorders>
            <w:vAlign w:val="center"/>
          </w:tcPr>
          <w:p>
            <w:pPr>
              <w:widowControl/>
              <w:ind w:firstLine="0" w:firstLineChars="0"/>
              <w:jc w:val="left"/>
              <w:rPr>
                <w:rFonts w:ascii="Arial" w:hAnsi="Arial" w:cs="Arial"/>
                <w:sz w:val="20"/>
                <w:szCs w:val="20"/>
                <w:shd w:val="clear" w:color="auto" w:fill="FFFFFF"/>
              </w:rPr>
            </w:pPr>
            <w:r>
              <w:rPr>
                <w:sz w:val="20"/>
                <w:szCs w:val="20"/>
              </w:rPr>
              <w:t>Square root of the ratio between the square of the deviation of the observed value from the true value and n, the number of observations. In actual measurement, the number of observations, n, is always limited and the true value can only be substituted by the most reliable (best) value.</w:t>
            </w:r>
          </w:p>
        </w:tc>
        <w:tc>
          <w:tcPr>
            <w:tcW w:w="4035" w:type="dxa"/>
            <w:tcBorders>
              <w:top w:val="nil"/>
              <w:bottom w:val="nil"/>
            </w:tcBorders>
            <w:vAlign w:val="center"/>
          </w:tcPr>
          <w:p>
            <w:pPr>
              <w:widowControl/>
              <w:ind w:firstLine="0" w:firstLineChars="0"/>
              <w:jc w:val="left"/>
              <w:rPr>
                <w:sz w:val="20"/>
                <w:szCs w:val="20"/>
              </w:rPr>
            </w:pPr>
            <w:r>
              <w:rPr>
                <w:sz w:val="20"/>
                <w:szCs w:val="20"/>
              </w:rPr>
              <w:t>This represents the average of the square root of the following value: for real and simulated values of the biomass of each of the 30 sample plots, the square of their difference is divided by 30. Because the results are very sensitive to extremely large or small errors in a set of measurements, it can better reflect the precision of the measurement.</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33" w:hRule="atLeast"/>
        </w:trPr>
        <w:tc>
          <w:tcPr>
            <w:tcW w:w="1779" w:type="dxa"/>
            <w:tcBorders>
              <w:top w:val="nil"/>
              <w:bottom w:val="single" w:color="auto" w:sz="4" w:space="0"/>
            </w:tcBorders>
            <w:vAlign w:val="center"/>
          </w:tcPr>
          <w:p>
            <w:pPr>
              <w:widowControl/>
              <w:ind w:firstLine="0" w:firstLineChars="0"/>
              <w:jc w:val="left"/>
              <w:rPr>
                <w:color w:val="FF0000"/>
                <w:sz w:val="20"/>
                <w:szCs w:val="20"/>
              </w:rPr>
            </w:pPr>
            <w:r>
              <w:rPr>
                <w:color w:val="FF0000"/>
                <w:sz w:val="20"/>
                <w:szCs w:val="20"/>
              </w:rPr>
              <w:t>The Normalized Root Mean Square Error (nRMSE)</w:t>
            </w:r>
          </w:p>
        </w:tc>
        <w:tc>
          <w:tcPr>
            <w:tcW w:w="3947" w:type="dxa"/>
            <w:tcBorders>
              <w:top w:val="nil"/>
              <w:bottom w:val="single" w:color="auto" w:sz="4" w:space="0"/>
            </w:tcBorders>
            <w:vAlign w:val="center"/>
          </w:tcPr>
          <w:p>
            <w:pPr>
              <w:widowControl/>
              <w:ind w:firstLine="0" w:firstLineChars="0"/>
              <w:jc w:val="left"/>
              <w:rPr>
                <w:color w:val="FF0000"/>
                <w:sz w:val="20"/>
                <w:szCs w:val="20"/>
              </w:rPr>
            </w:pPr>
            <w:r>
              <w:rPr>
                <w:color w:val="FF0000"/>
                <w:sz w:val="20"/>
                <w:szCs w:val="20"/>
              </w:rPr>
              <w:t>The normalized root mean square error is the RMSE divided by the average of the observed values of a variable being predicted.</w:t>
            </w:r>
          </w:p>
        </w:tc>
        <w:tc>
          <w:tcPr>
            <w:tcW w:w="4035" w:type="dxa"/>
            <w:tcBorders>
              <w:top w:val="nil"/>
              <w:bottom w:val="single" w:color="auto" w:sz="4" w:space="0"/>
            </w:tcBorders>
            <w:vAlign w:val="center"/>
          </w:tcPr>
          <w:p>
            <w:pPr>
              <w:widowControl/>
              <w:ind w:firstLine="0" w:firstLineChars="0"/>
              <w:jc w:val="left"/>
              <w:rPr>
                <w:color w:val="FF0000"/>
                <w:sz w:val="20"/>
                <w:szCs w:val="20"/>
              </w:rPr>
            </w:pPr>
            <w:r>
              <w:rPr>
                <w:color w:val="FF0000"/>
                <w:sz w:val="20"/>
                <w:szCs w:val="20"/>
              </w:rPr>
              <w:t>When comparing the modelling accuracies of different studies presenting different forest types, nRMSE is more meaningful because the intrinsic AGB variability is very different between drastically different forest types (e.g., a tropical rainforest (large) and a Eucalyptus plantation (small)).</w:t>
            </w:r>
          </w:p>
        </w:tc>
      </w:tr>
    </w:tbl>
    <w:p>
      <w:pPr>
        <w:ind w:firstLine="402"/>
        <w:jc w:val="center"/>
        <w:outlineLvl w:val="1"/>
        <w:rPr>
          <w:color w:val="000000"/>
          <w:sz w:val="20"/>
          <w:szCs w:val="20"/>
        </w:rPr>
      </w:pPr>
      <w:bookmarkStart w:id="105" w:name="OLE_LINK92"/>
      <w:bookmarkStart w:id="106" w:name="_Toc506920677"/>
      <w:bookmarkStart w:id="107" w:name="OLE_LINK91"/>
      <w:bookmarkStart w:id="108" w:name="_Toc520101997"/>
      <w:bookmarkStart w:id="109" w:name="_Toc10262"/>
      <w:r>
        <w:rPr>
          <w:b/>
          <w:bCs/>
          <w:sz w:val="20"/>
          <w:szCs w:val="20"/>
        </w:rPr>
        <w:t>T</w:t>
      </w:r>
      <w:r>
        <w:rPr>
          <w:b/>
          <w:color w:val="000000"/>
          <w:sz w:val="20"/>
          <w:szCs w:val="20"/>
        </w:rPr>
        <w:t xml:space="preserve">able </w:t>
      </w:r>
      <w:r>
        <w:rPr>
          <w:rFonts w:hint="eastAsia"/>
          <w:b/>
          <w:bCs/>
          <w:color w:val="000000"/>
          <w:sz w:val="20"/>
          <w:szCs w:val="20"/>
        </w:rPr>
        <w:t>B.</w:t>
      </w:r>
      <w:r>
        <w:rPr>
          <w:b/>
          <w:bCs/>
          <w:color w:val="000000"/>
          <w:sz w:val="20"/>
          <w:szCs w:val="20"/>
        </w:rPr>
        <w:t>6</w:t>
      </w:r>
      <w:r>
        <w:rPr>
          <w:color w:val="000000"/>
          <w:sz w:val="20"/>
          <w:szCs w:val="20"/>
        </w:rPr>
        <w:t xml:space="preserve"> </w:t>
      </w:r>
      <w:bookmarkEnd w:id="100"/>
      <w:bookmarkEnd w:id="101"/>
      <w:bookmarkEnd w:id="105"/>
      <w:bookmarkEnd w:id="106"/>
      <w:bookmarkEnd w:id="107"/>
      <w:r>
        <w:rPr>
          <w:color w:val="000000"/>
          <w:sz w:val="20"/>
          <w:szCs w:val="20"/>
        </w:rPr>
        <w:t>Leave-one-out cross-validation for machine learning (support vector machine, artificial neural network, and random forest), spatial statistical analysis (P-BSHDE), and results from paired combinations of the two types.</w:t>
      </w:r>
      <w:bookmarkEnd w:id="108"/>
      <w:bookmarkEnd w:id="109"/>
    </w:p>
    <w:p>
      <w:pPr>
        <w:ind w:firstLine="400"/>
        <w:jc w:val="left"/>
        <w:rPr>
          <w:color w:val="000000"/>
          <w:sz w:val="20"/>
          <w:szCs w:val="20"/>
        </w:rPr>
      </w:pPr>
    </w:p>
    <w:tbl>
      <w:tblPr>
        <w:tblStyle w:val="16"/>
        <w:tblW w:w="9356" w:type="dxa"/>
        <w:jc w:val="center"/>
        <w:tblInd w:w="0" w:type="dxa"/>
        <w:tblLayout w:type="fixed"/>
        <w:tblCellMar>
          <w:top w:w="0" w:type="dxa"/>
          <w:left w:w="0" w:type="dxa"/>
          <w:bottom w:w="0" w:type="dxa"/>
          <w:right w:w="0" w:type="dxa"/>
        </w:tblCellMar>
      </w:tblPr>
      <w:tblGrid>
        <w:gridCol w:w="2221"/>
        <w:gridCol w:w="1783"/>
        <w:gridCol w:w="1784"/>
        <w:gridCol w:w="1784"/>
        <w:gridCol w:w="1784"/>
      </w:tblGrid>
      <w:tr>
        <w:tblPrEx>
          <w:tblLayout w:type="fixed"/>
          <w:tblCellMar>
            <w:top w:w="0" w:type="dxa"/>
            <w:left w:w="0" w:type="dxa"/>
            <w:bottom w:w="0" w:type="dxa"/>
            <w:right w:w="0" w:type="dxa"/>
          </w:tblCellMar>
        </w:tblPrEx>
        <w:trPr>
          <w:trHeight w:val="313" w:hRule="atLeast"/>
          <w:jc w:val="center"/>
        </w:trPr>
        <w:tc>
          <w:tcPr>
            <w:tcW w:w="2221" w:type="dxa"/>
            <w:tcBorders>
              <w:top w:val="single" w:color="000000" w:sz="4" w:space="0"/>
              <w:left w:val="nil"/>
              <w:bottom w:val="single" w:color="000000" w:sz="4" w:space="0"/>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Method</w:t>
            </w:r>
          </w:p>
        </w:tc>
        <w:tc>
          <w:tcPr>
            <w:tcW w:w="1783" w:type="dxa"/>
            <w:tcBorders>
              <w:top w:val="single" w:color="000000" w:sz="4" w:space="0"/>
              <w:left w:val="nil"/>
              <w:bottom w:val="single" w:color="000000" w:sz="4" w:space="0"/>
              <w:right w:val="nil"/>
            </w:tcBorders>
            <w:vAlign w:val="center"/>
          </w:tcPr>
          <w:p>
            <w:pPr>
              <w:ind w:firstLine="400"/>
              <w:jc w:val="center"/>
              <w:rPr>
                <w:color w:val="000000"/>
                <w:sz w:val="20"/>
                <w:szCs w:val="20"/>
              </w:rPr>
            </w:pPr>
            <w:r>
              <w:rPr>
                <w:color w:val="000000"/>
                <w:sz w:val="20"/>
                <w:szCs w:val="20"/>
              </w:rPr>
              <w:t>MAE</w:t>
            </w:r>
          </w:p>
        </w:tc>
        <w:tc>
          <w:tcPr>
            <w:tcW w:w="1784" w:type="dxa"/>
            <w:tcBorders>
              <w:top w:val="single" w:color="000000" w:sz="4" w:space="0"/>
              <w:left w:val="nil"/>
              <w:bottom w:val="single" w:color="000000" w:sz="4" w:space="0"/>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MRE</w:t>
            </w:r>
          </w:p>
        </w:tc>
        <w:tc>
          <w:tcPr>
            <w:tcW w:w="1784" w:type="dxa"/>
            <w:tcBorders>
              <w:top w:val="single" w:color="000000" w:sz="4" w:space="0"/>
              <w:left w:val="nil"/>
              <w:bottom w:val="single" w:color="000000" w:sz="4" w:space="0"/>
              <w:right w:val="nil"/>
            </w:tcBorders>
            <w:vAlign w:val="center"/>
          </w:tcPr>
          <w:p>
            <w:pPr>
              <w:ind w:firstLine="400"/>
              <w:jc w:val="center"/>
              <w:rPr>
                <w:color w:val="000000"/>
                <w:sz w:val="20"/>
                <w:szCs w:val="20"/>
              </w:rPr>
            </w:pPr>
            <w:r>
              <w:rPr>
                <w:color w:val="000000"/>
                <w:sz w:val="20"/>
                <w:szCs w:val="20"/>
              </w:rPr>
              <w:t>RMSE</w:t>
            </w:r>
          </w:p>
        </w:tc>
        <w:tc>
          <w:tcPr>
            <w:tcW w:w="1784" w:type="dxa"/>
            <w:tcBorders>
              <w:top w:val="single" w:color="000000" w:sz="4" w:space="0"/>
              <w:left w:val="nil"/>
              <w:bottom w:val="single" w:color="000000" w:sz="4" w:space="0"/>
              <w:right w:val="nil"/>
            </w:tcBorders>
          </w:tcPr>
          <w:p>
            <w:pPr>
              <w:ind w:firstLine="400"/>
              <w:jc w:val="center"/>
              <w:rPr>
                <w:color w:val="FF0000"/>
                <w:sz w:val="20"/>
                <w:szCs w:val="20"/>
              </w:rPr>
            </w:pPr>
            <w:r>
              <w:rPr>
                <w:rFonts w:hint="eastAsia"/>
                <w:color w:val="FF0000"/>
                <w:sz w:val="20"/>
                <w:szCs w:val="20"/>
              </w:rPr>
              <w:t>n</w:t>
            </w:r>
            <w:r>
              <w:rPr>
                <w:color w:val="FF0000"/>
                <w:sz w:val="20"/>
                <w:szCs w:val="20"/>
              </w:rPr>
              <w:t>RMSE</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bookmarkStart w:id="110" w:name="OLE_LINK105"/>
            <w:bookmarkStart w:id="111" w:name="OLE_LINK104"/>
            <w:bookmarkStart w:id="112" w:name="OLE_LINK103"/>
            <w:r>
              <w:rPr>
                <w:color w:val="000000"/>
                <w:sz w:val="20"/>
                <w:szCs w:val="20"/>
              </w:rPr>
              <w:t>SVM</w:t>
            </w:r>
            <w:bookmarkEnd w:id="110"/>
            <w:bookmarkEnd w:id="111"/>
            <w:bookmarkEnd w:id="112"/>
          </w:p>
        </w:tc>
        <w:tc>
          <w:tcPr>
            <w:tcW w:w="1783"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11.168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0.2479</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10.388</w:t>
            </w:r>
          </w:p>
        </w:tc>
        <w:tc>
          <w:tcPr>
            <w:tcW w:w="1784" w:type="dxa"/>
            <w:tcBorders>
              <w:top w:val="nil"/>
              <w:left w:val="nil"/>
              <w:bottom w:val="nil"/>
              <w:right w:val="nil"/>
            </w:tcBorders>
          </w:tcPr>
          <w:p>
            <w:pPr>
              <w:ind w:firstLine="400"/>
              <w:jc w:val="center"/>
              <w:rPr>
                <w:color w:val="FF0000"/>
                <w:sz w:val="20"/>
                <w:szCs w:val="20"/>
              </w:rPr>
            </w:pPr>
            <w:r>
              <w:rPr>
                <w:rFonts w:hint="eastAsia"/>
                <w:color w:val="FF0000"/>
                <w:sz w:val="20"/>
                <w:szCs w:val="20"/>
                <w:lang w:val="en-US" w:eastAsia="zh-CN"/>
              </w:rPr>
              <w:t>0.</w:t>
            </w:r>
            <w:r>
              <w:rPr>
                <w:rFonts w:hint="eastAsia"/>
                <w:color w:val="FF0000"/>
                <w:sz w:val="20"/>
                <w:szCs w:val="20"/>
              </w:rPr>
              <w:t>2</w:t>
            </w:r>
            <w:r>
              <w:rPr>
                <w:color w:val="FF0000"/>
                <w:sz w:val="20"/>
                <w:szCs w:val="20"/>
              </w:rPr>
              <w:t>182</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bookmarkStart w:id="113" w:name="OLE_LINK102"/>
            <w:r>
              <w:rPr>
                <w:color w:val="000000"/>
                <w:sz w:val="20"/>
                <w:szCs w:val="20"/>
              </w:rPr>
              <w:t>ANN</w:t>
            </w:r>
            <w:bookmarkEnd w:id="113"/>
          </w:p>
        </w:tc>
        <w:tc>
          <w:tcPr>
            <w:tcW w:w="1783"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12.149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0.267</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10.388</w:t>
            </w:r>
          </w:p>
        </w:tc>
        <w:tc>
          <w:tcPr>
            <w:tcW w:w="1784" w:type="dxa"/>
            <w:tcBorders>
              <w:top w:val="nil"/>
              <w:left w:val="nil"/>
              <w:bottom w:val="nil"/>
              <w:right w:val="nil"/>
            </w:tcBorders>
          </w:tcPr>
          <w:p>
            <w:pPr>
              <w:ind w:firstLine="400"/>
              <w:jc w:val="center"/>
              <w:rPr>
                <w:color w:val="FF0000"/>
                <w:sz w:val="20"/>
                <w:szCs w:val="20"/>
              </w:rPr>
            </w:pPr>
            <w:r>
              <w:rPr>
                <w:rFonts w:hint="eastAsia"/>
                <w:color w:val="FF0000"/>
                <w:sz w:val="20"/>
                <w:szCs w:val="20"/>
                <w:lang w:val="en-US" w:eastAsia="zh-CN"/>
              </w:rPr>
              <w:t>0.</w:t>
            </w:r>
            <w:r>
              <w:rPr>
                <w:color w:val="FF0000"/>
                <w:sz w:val="20"/>
                <w:szCs w:val="20"/>
              </w:rPr>
              <w:t>2182</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RF</w:t>
            </w:r>
          </w:p>
        </w:tc>
        <w:tc>
          <w:tcPr>
            <w:tcW w:w="1783"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10.155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0.259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9.429</w:t>
            </w:r>
          </w:p>
        </w:tc>
        <w:tc>
          <w:tcPr>
            <w:tcW w:w="1784" w:type="dxa"/>
            <w:tcBorders>
              <w:top w:val="nil"/>
              <w:left w:val="nil"/>
              <w:bottom w:val="nil"/>
              <w:right w:val="nil"/>
            </w:tcBorders>
          </w:tcPr>
          <w:p>
            <w:pPr>
              <w:ind w:firstLine="400"/>
              <w:jc w:val="center"/>
              <w:rPr>
                <w:color w:val="FF0000"/>
                <w:sz w:val="20"/>
                <w:szCs w:val="20"/>
              </w:rPr>
            </w:pPr>
            <w:r>
              <w:rPr>
                <w:rFonts w:hint="eastAsia"/>
                <w:color w:val="FF0000"/>
                <w:sz w:val="20"/>
                <w:szCs w:val="20"/>
                <w:lang w:val="en-US" w:eastAsia="zh-CN"/>
              </w:rPr>
              <w:t>0.</w:t>
            </w:r>
            <w:r>
              <w:rPr>
                <w:rFonts w:hint="eastAsia"/>
                <w:color w:val="FF0000"/>
                <w:sz w:val="20"/>
                <w:szCs w:val="20"/>
              </w:rPr>
              <w:t>1</w:t>
            </w:r>
            <w:r>
              <w:rPr>
                <w:color w:val="FF0000"/>
                <w:sz w:val="20"/>
                <w:szCs w:val="20"/>
              </w:rPr>
              <w:t>980</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P-BSHADE</w:t>
            </w:r>
          </w:p>
        </w:tc>
        <w:tc>
          <w:tcPr>
            <w:tcW w:w="1783"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18.371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0.391</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14.077</w:t>
            </w:r>
          </w:p>
        </w:tc>
        <w:tc>
          <w:tcPr>
            <w:tcW w:w="1784" w:type="dxa"/>
            <w:tcBorders>
              <w:top w:val="nil"/>
              <w:left w:val="nil"/>
              <w:bottom w:val="nil"/>
              <w:right w:val="nil"/>
            </w:tcBorders>
          </w:tcPr>
          <w:p>
            <w:pPr>
              <w:ind w:firstLine="400"/>
              <w:jc w:val="center"/>
              <w:rPr>
                <w:color w:val="FF0000"/>
                <w:sz w:val="20"/>
                <w:szCs w:val="20"/>
              </w:rPr>
            </w:pPr>
            <w:r>
              <w:rPr>
                <w:rFonts w:hint="eastAsia"/>
                <w:color w:val="FF0000"/>
                <w:sz w:val="20"/>
                <w:szCs w:val="20"/>
                <w:lang w:val="en-US" w:eastAsia="zh-CN"/>
              </w:rPr>
              <w:t>0.</w:t>
            </w:r>
            <w:r>
              <w:rPr>
                <w:rFonts w:hint="eastAsia"/>
                <w:color w:val="FF0000"/>
                <w:sz w:val="20"/>
                <w:szCs w:val="20"/>
              </w:rPr>
              <w:t>2</w:t>
            </w:r>
            <w:r>
              <w:rPr>
                <w:color w:val="FF0000"/>
                <w:sz w:val="20"/>
                <w:szCs w:val="20"/>
              </w:rPr>
              <w:t>957</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SVM-</w:t>
            </w:r>
            <w:r>
              <w:rPr>
                <w:rFonts w:hAnsi="Palatino Linotype"/>
                <w:color w:val="000000"/>
                <w:sz w:val="20"/>
                <w:szCs w:val="20"/>
              </w:rPr>
              <w:t>＆</w:t>
            </w:r>
            <w:r>
              <w:rPr>
                <w:color w:val="000000"/>
                <w:sz w:val="20"/>
                <w:szCs w:val="20"/>
              </w:rPr>
              <w:t>P-BSHADE</w:t>
            </w:r>
          </w:p>
        </w:tc>
        <w:tc>
          <w:tcPr>
            <w:tcW w:w="1783"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6.883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0.125</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6.304</w:t>
            </w:r>
          </w:p>
        </w:tc>
        <w:tc>
          <w:tcPr>
            <w:tcW w:w="1784" w:type="dxa"/>
            <w:tcBorders>
              <w:top w:val="nil"/>
              <w:left w:val="nil"/>
              <w:bottom w:val="nil"/>
              <w:right w:val="nil"/>
            </w:tcBorders>
          </w:tcPr>
          <w:p>
            <w:pPr>
              <w:ind w:firstLine="400"/>
              <w:jc w:val="center"/>
              <w:rPr>
                <w:color w:val="FF0000"/>
                <w:sz w:val="20"/>
                <w:szCs w:val="20"/>
              </w:rPr>
            </w:pPr>
            <w:r>
              <w:rPr>
                <w:rFonts w:hint="eastAsia"/>
                <w:color w:val="FF0000"/>
                <w:sz w:val="20"/>
                <w:szCs w:val="20"/>
                <w:lang w:val="en-US" w:eastAsia="zh-CN"/>
              </w:rPr>
              <w:t>0.</w:t>
            </w:r>
            <w:r>
              <w:rPr>
                <w:rFonts w:hint="eastAsia"/>
                <w:color w:val="FF0000"/>
                <w:sz w:val="20"/>
                <w:szCs w:val="20"/>
              </w:rPr>
              <w:t>1</w:t>
            </w:r>
            <w:r>
              <w:rPr>
                <w:color w:val="FF0000"/>
                <w:sz w:val="20"/>
                <w:szCs w:val="20"/>
              </w:rPr>
              <w:t>324</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ANN-</w:t>
            </w:r>
            <w:r>
              <w:rPr>
                <w:rFonts w:hAnsi="Palatino Linotype"/>
                <w:color w:val="000000"/>
                <w:sz w:val="20"/>
                <w:szCs w:val="20"/>
              </w:rPr>
              <w:t>＆</w:t>
            </w:r>
            <w:r>
              <w:rPr>
                <w:color w:val="000000"/>
                <w:sz w:val="20"/>
                <w:szCs w:val="20"/>
              </w:rPr>
              <w:t>P-BSHADE</w:t>
            </w:r>
          </w:p>
        </w:tc>
        <w:tc>
          <w:tcPr>
            <w:tcW w:w="1783"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10.136 </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0.205</w:t>
            </w:r>
          </w:p>
        </w:tc>
        <w:tc>
          <w:tcPr>
            <w:tcW w:w="1784" w:type="dxa"/>
            <w:tcBorders>
              <w:top w:val="nil"/>
              <w:left w:val="nil"/>
              <w:bottom w:val="nil"/>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9.633</w:t>
            </w:r>
          </w:p>
        </w:tc>
        <w:tc>
          <w:tcPr>
            <w:tcW w:w="1784" w:type="dxa"/>
            <w:tcBorders>
              <w:top w:val="nil"/>
              <w:left w:val="nil"/>
              <w:bottom w:val="nil"/>
              <w:right w:val="nil"/>
            </w:tcBorders>
          </w:tcPr>
          <w:p>
            <w:pPr>
              <w:ind w:firstLine="400"/>
              <w:jc w:val="center"/>
              <w:rPr>
                <w:color w:val="FF0000"/>
                <w:sz w:val="20"/>
                <w:szCs w:val="20"/>
              </w:rPr>
            </w:pPr>
            <w:r>
              <w:rPr>
                <w:rFonts w:hint="eastAsia"/>
                <w:color w:val="FF0000"/>
                <w:sz w:val="20"/>
                <w:szCs w:val="20"/>
                <w:lang w:val="en-US" w:eastAsia="zh-CN"/>
              </w:rPr>
              <w:t>0.</w:t>
            </w:r>
            <w:r>
              <w:rPr>
                <w:rFonts w:hint="eastAsia"/>
                <w:color w:val="FF0000"/>
                <w:sz w:val="20"/>
                <w:szCs w:val="20"/>
              </w:rPr>
              <w:t>2</w:t>
            </w:r>
            <w:r>
              <w:rPr>
                <w:color w:val="FF0000"/>
                <w:sz w:val="20"/>
                <w:szCs w:val="20"/>
              </w:rPr>
              <w:t>023</w:t>
            </w:r>
          </w:p>
        </w:tc>
      </w:tr>
      <w:tr>
        <w:tblPrEx>
          <w:tblLayout w:type="fixed"/>
          <w:tblCellMar>
            <w:top w:w="0" w:type="dxa"/>
            <w:left w:w="0" w:type="dxa"/>
            <w:bottom w:w="0" w:type="dxa"/>
            <w:right w:w="0" w:type="dxa"/>
          </w:tblCellMar>
        </w:tblPrEx>
        <w:trPr>
          <w:trHeight w:val="269" w:hRule="atLeast"/>
          <w:jc w:val="center"/>
        </w:trPr>
        <w:tc>
          <w:tcPr>
            <w:tcW w:w="2221" w:type="dxa"/>
            <w:tcBorders>
              <w:top w:val="nil"/>
              <w:left w:val="nil"/>
              <w:bottom w:val="single" w:color="000000" w:sz="4" w:space="0"/>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RF-</w:t>
            </w:r>
            <w:r>
              <w:rPr>
                <w:rFonts w:hAnsi="Palatino Linotype"/>
                <w:color w:val="000000"/>
                <w:sz w:val="20"/>
                <w:szCs w:val="20"/>
              </w:rPr>
              <w:t>＆</w:t>
            </w:r>
            <w:r>
              <w:rPr>
                <w:color w:val="000000"/>
                <w:sz w:val="20"/>
                <w:szCs w:val="20"/>
              </w:rPr>
              <w:t>P-BSHADE</w:t>
            </w:r>
          </w:p>
        </w:tc>
        <w:tc>
          <w:tcPr>
            <w:tcW w:w="1783" w:type="dxa"/>
            <w:tcBorders>
              <w:top w:val="nil"/>
              <w:left w:val="nil"/>
              <w:bottom w:val="single" w:color="000000" w:sz="4" w:space="0"/>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 xml:space="preserve">5.679 </w:t>
            </w:r>
          </w:p>
        </w:tc>
        <w:tc>
          <w:tcPr>
            <w:tcW w:w="1784" w:type="dxa"/>
            <w:tcBorders>
              <w:top w:val="nil"/>
              <w:left w:val="nil"/>
              <w:bottom w:val="single" w:color="000000" w:sz="4" w:space="0"/>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0.130</w:t>
            </w:r>
          </w:p>
        </w:tc>
        <w:tc>
          <w:tcPr>
            <w:tcW w:w="1784" w:type="dxa"/>
            <w:tcBorders>
              <w:top w:val="nil"/>
              <w:left w:val="nil"/>
              <w:bottom w:val="single" w:color="000000" w:sz="4" w:space="0"/>
              <w:right w:val="nil"/>
            </w:tcBorders>
            <w:tcMar>
              <w:top w:w="12" w:type="dxa"/>
              <w:left w:w="12" w:type="dxa"/>
              <w:bottom w:w="0" w:type="dxa"/>
              <w:right w:w="12" w:type="dxa"/>
            </w:tcMar>
            <w:vAlign w:val="center"/>
          </w:tcPr>
          <w:p>
            <w:pPr>
              <w:ind w:firstLine="400"/>
              <w:jc w:val="center"/>
              <w:rPr>
                <w:color w:val="000000"/>
                <w:sz w:val="20"/>
                <w:szCs w:val="20"/>
              </w:rPr>
            </w:pPr>
            <w:r>
              <w:rPr>
                <w:color w:val="000000"/>
                <w:sz w:val="20"/>
                <w:szCs w:val="20"/>
              </w:rPr>
              <w:t>5.299</w:t>
            </w:r>
          </w:p>
        </w:tc>
        <w:tc>
          <w:tcPr>
            <w:tcW w:w="1784" w:type="dxa"/>
            <w:tcBorders>
              <w:top w:val="nil"/>
              <w:left w:val="nil"/>
              <w:bottom w:val="single" w:color="000000" w:sz="4" w:space="0"/>
              <w:right w:val="nil"/>
            </w:tcBorders>
          </w:tcPr>
          <w:p>
            <w:pPr>
              <w:ind w:firstLine="400"/>
              <w:jc w:val="center"/>
              <w:rPr>
                <w:color w:val="FF0000"/>
                <w:sz w:val="20"/>
                <w:szCs w:val="20"/>
              </w:rPr>
            </w:pPr>
            <w:r>
              <w:rPr>
                <w:rFonts w:hint="eastAsia"/>
                <w:color w:val="FF0000"/>
                <w:sz w:val="20"/>
                <w:szCs w:val="20"/>
                <w:lang w:val="en-US" w:eastAsia="zh-CN"/>
              </w:rPr>
              <w:t>0.</w:t>
            </w:r>
            <w:r>
              <w:rPr>
                <w:rFonts w:hint="eastAsia"/>
                <w:color w:val="FF0000"/>
                <w:sz w:val="20"/>
                <w:szCs w:val="20"/>
              </w:rPr>
              <w:t>1</w:t>
            </w:r>
            <w:r>
              <w:rPr>
                <w:color w:val="FF0000"/>
                <w:sz w:val="20"/>
                <w:szCs w:val="20"/>
              </w:rPr>
              <w:t>113</w:t>
            </w:r>
          </w:p>
        </w:tc>
      </w:tr>
    </w:tbl>
    <w:p>
      <w:pPr>
        <w:ind w:firstLine="964"/>
        <w:rPr>
          <w:b/>
          <w:bCs/>
          <w:sz w:val="48"/>
          <w:szCs w:val="48"/>
        </w:rPr>
      </w:pPr>
      <w:bookmarkStart w:id="114" w:name="_Toc520101998"/>
      <w:bookmarkStart w:id="115" w:name="_Toc506920678"/>
      <w:r>
        <w:rPr>
          <w:b/>
          <w:bCs/>
          <w:sz w:val="48"/>
          <w:szCs w:val="48"/>
        </w:rPr>
        <w:br w:type="page"/>
      </w:r>
    </w:p>
    <w:bookmarkEnd w:id="114"/>
    <w:bookmarkEnd w:id="115"/>
    <w:p>
      <w:pPr>
        <w:ind w:firstLine="0" w:firstLineChars="0"/>
        <w:jc w:val="left"/>
        <w:outlineLvl w:val="0"/>
        <w:rPr>
          <w:b/>
          <w:bCs/>
          <w:color w:val="FF0000"/>
          <w:sz w:val="48"/>
          <w:szCs w:val="48"/>
        </w:rPr>
      </w:pPr>
      <w:bookmarkStart w:id="116" w:name="_Toc18023"/>
      <w:r>
        <w:rPr>
          <w:b/>
          <w:bCs/>
          <w:color w:val="FF0000"/>
          <w:sz w:val="48"/>
          <w:szCs w:val="48"/>
        </w:rPr>
        <w:t>S3</w:t>
      </w:r>
      <w:bookmarkEnd w:id="116"/>
    </w:p>
    <w:p>
      <w:pPr>
        <w:ind w:firstLine="964"/>
        <w:jc w:val="left"/>
        <w:rPr>
          <w:b/>
          <w:bCs/>
          <w:sz w:val="48"/>
          <w:szCs w:val="48"/>
        </w:rPr>
      </w:pPr>
    </w:p>
    <w:p>
      <w:pPr>
        <w:ind w:firstLine="480"/>
        <w:jc w:val="center"/>
      </w:pPr>
    </w:p>
    <w:p>
      <w:pPr>
        <w:ind w:firstLine="480"/>
        <w:jc w:val="center"/>
      </w:pPr>
      <w:r>
        <w:drawing>
          <wp:inline distT="0" distB="0" distL="0" distR="0">
            <wp:extent cx="4229735" cy="457644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30000" cy="4576572"/>
                    </a:xfrm>
                    <a:prstGeom prst="rect">
                      <a:avLst/>
                    </a:prstGeom>
                  </pic:spPr>
                </pic:pic>
              </a:graphicData>
            </a:graphic>
          </wp:inline>
        </w:drawing>
      </w:r>
    </w:p>
    <w:p>
      <w:pPr>
        <w:ind w:firstLine="402"/>
        <w:jc w:val="center"/>
        <w:outlineLvl w:val="1"/>
        <w:rPr>
          <w:color w:val="FF0000"/>
          <w:sz w:val="20"/>
          <w:szCs w:val="20"/>
        </w:rPr>
      </w:pPr>
      <w:bookmarkStart w:id="117" w:name="_Toc520101999"/>
      <w:bookmarkStart w:id="118" w:name="_Toc506920679"/>
      <w:bookmarkStart w:id="119" w:name="_Toc26215"/>
      <w:r>
        <w:rPr>
          <w:b/>
          <w:color w:val="FF0000"/>
          <w:sz w:val="20"/>
          <w:szCs w:val="20"/>
        </w:rPr>
        <w:t>Figure C.1</w:t>
      </w:r>
      <w:r>
        <w:rPr>
          <w:color w:val="FF0000"/>
          <w:sz w:val="20"/>
          <w:szCs w:val="20"/>
        </w:rPr>
        <w:t xml:space="preserve"> Spatial autocorrelation report.</w:t>
      </w:r>
      <w:bookmarkEnd w:id="117"/>
      <w:bookmarkEnd w:id="118"/>
      <w:bookmarkEnd w:id="119"/>
    </w:p>
    <w:p>
      <w:pPr>
        <w:ind w:firstLine="480"/>
        <w:jc w:val="center"/>
      </w:pPr>
      <w:r>
        <w:drawing>
          <wp:inline distT="0" distB="0" distL="0" distR="0">
            <wp:extent cx="4319905" cy="4686935"/>
            <wp:effectExtent l="0" t="0" r="444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20000" cy="4687235"/>
                    </a:xfrm>
                    <a:prstGeom prst="rect">
                      <a:avLst/>
                    </a:prstGeom>
                  </pic:spPr>
                </pic:pic>
              </a:graphicData>
            </a:graphic>
          </wp:inline>
        </w:drawing>
      </w:r>
    </w:p>
    <w:p>
      <w:pPr>
        <w:ind w:firstLine="400"/>
        <w:jc w:val="center"/>
        <w:outlineLvl w:val="1"/>
        <w:rPr>
          <w:sz w:val="20"/>
          <w:szCs w:val="20"/>
        </w:rPr>
      </w:pPr>
      <w:bookmarkStart w:id="120" w:name="_Toc25983"/>
      <w:r>
        <w:rPr>
          <w:rFonts w:hint="eastAsia"/>
          <w:sz w:val="20"/>
          <w:szCs w:val="20"/>
        </w:rPr>
        <w:t>F</w:t>
      </w:r>
      <w:r>
        <w:rPr>
          <w:sz w:val="20"/>
          <w:szCs w:val="20"/>
        </w:rPr>
        <w:t>igure C.2 The location of experimental sample plots (blue dots) and independent sample plots (black dots).</w:t>
      </w:r>
      <w:bookmarkEnd w:id="120"/>
    </w:p>
    <w:p>
      <w:pPr>
        <w:ind w:firstLine="400"/>
        <w:jc w:val="center"/>
        <w:rPr>
          <w:sz w:val="20"/>
          <w:szCs w:val="20"/>
        </w:rPr>
      </w:pPr>
      <w:r>
        <w:rPr>
          <w:sz w:val="20"/>
          <w:szCs w:val="20"/>
        </w:rPr>
        <w:drawing>
          <wp:inline distT="0" distB="0" distL="0" distR="0">
            <wp:extent cx="4319905" cy="3750310"/>
            <wp:effectExtent l="0" t="0" r="4445"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cstate="print">
                      <a:extLst>
                        <a:ext uri="{28A0092B-C50C-407E-A947-70E740481C1C}">
                          <a14:useLocalDpi xmlns:a14="http://schemas.microsoft.com/office/drawing/2010/main" val="0"/>
                        </a:ext>
                      </a:extLst>
                    </a:blip>
                    <a:srcRect r="760"/>
                    <a:stretch>
                      <a:fillRect/>
                    </a:stretch>
                  </pic:blipFill>
                  <pic:spPr>
                    <a:xfrm>
                      <a:off x="0" y="0"/>
                      <a:ext cx="4320000" cy="3750458"/>
                    </a:xfrm>
                    <a:prstGeom prst="rect">
                      <a:avLst/>
                    </a:prstGeom>
                    <a:ln>
                      <a:noFill/>
                    </a:ln>
                  </pic:spPr>
                </pic:pic>
              </a:graphicData>
            </a:graphic>
          </wp:inline>
        </w:drawing>
      </w:r>
    </w:p>
    <w:p>
      <w:pPr>
        <w:ind w:firstLine="400"/>
        <w:jc w:val="center"/>
        <w:outlineLvl w:val="1"/>
        <w:rPr>
          <w:sz w:val="20"/>
          <w:szCs w:val="20"/>
        </w:rPr>
      </w:pPr>
      <w:bookmarkStart w:id="121" w:name="_Toc6947"/>
      <w:r>
        <w:rPr>
          <w:sz w:val="20"/>
          <w:szCs w:val="20"/>
        </w:rPr>
        <w:t>Figure C.3 Upscaled AGB map produced using RF &amp; P-BSHADE.</w:t>
      </w:r>
      <w:bookmarkEnd w:id="121"/>
    </w:p>
    <w:p>
      <w:pPr>
        <w:ind w:firstLine="480"/>
        <w:jc w:val="center"/>
        <w:rPr>
          <w:highlight w:val="yellow"/>
        </w:rPr>
      </w:pPr>
      <w:r>
        <w:drawing>
          <wp:inline distT="0" distB="0" distL="0" distR="0">
            <wp:extent cx="4319905" cy="4319905"/>
            <wp:effectExtent l="0" t="0" r="4445"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20000" cy="4320000"/>
                    </a:xfrm>
                    <a:prstGeom prst="rect">
                      <a:avLst/>
                    </a:prstGeom>
                  </pic:spPr>
                </pic:pic>
              </a:graphicData>
            </a:graphic>
          </wp:inline>
        </w:drawing>
      </w:r>
    </w:p>
    <w:p>
      <w:pPr>
        <w:ind w:firstLine="400"/>
        <w:jc w:val="center"/>
        <w:outlineLvl w:val="1"/>
        <w:rPr>
          <w:bCs/>
          <w:sz w:val="20"/>
          <w:szCs w:val="20"/>
          <w:highlight w:val="yellow"/>
        </w:rPr>
      </w:pPr>
      <w:bookmarkStart w:id="122" w:name="_Toc12511"/>
      <w:r>
        <w:rPr>
          <w:bCs/>
          <w:sz w:val="20"/>
          <w:szCs w:val="20"/>
        </w:rPr>
        <w:t>Figure C.4 Comparison of upscaling by RF &amp; P-BSHADE with upscaling by the allometric model. The green dashed line corresponds to a 1:1 relationship; each dot represents an individual forest patch; the solid yellow line indicates the trend line for the dots.</w:t>
      </w:r>
      <w:bookmarkEnd w:id="122"/>
    </w:p>
    <w:p>
      <w:pPr>
        <w:ind w:left="0" w:leftChars="0" w:firstLine="0" w:firstLineChars="0"/>
        <w:rPr>
          <w:szCs w:val="24"/>
        </w:rPr>
      </w:pPr>
      <w:r>
        <w:rPr>
          <w:szCs w:val="24"/>
        </w:rPr>
        <w:br w:type="page"/>
      </w:r>
    </w:p>
    <w:p>
      <w:pPr>
        <w:ind w:firstLine="480"/>
        <w:jc w:val="center"/>
        <w:rPr>
          <w:szCs w:val="24"/>
        </w:rPr>
      </w:pPr>
    </w:p>
    <w:p>
      <w:pPr>
        <w:ind w:firstLine="0" w:firstLineChars="0"/>
        <w:jc w:val="left"/>
        <w:outlineLvl w:val="0"/>
      </w:pPr>
      <w:bookmarkStart w:id="123" w:name="_Toc7522"/>
      <w:r>
        <w:rPr>
          <w:b/>
        </w:rPr>
        <w:t>References</w:t>
      </w:r>
      <w:bookmarkEnd w:id="123"/>
    </w:p>
    <w:p>
      <w:pPr>
        <w:pStyle w:val="45"/>
        <w:spacing w:line="360" w:lineRule="auto"/>
        <w:ind w:left="425" w:hanging="424" w:hangingChars="177"/>
        <w:rPr>
          <w:szCs w:val="24"/>
        </w:rPr>
      </w:pPr>
    </w:p>
    <w:p>
      <w:pPr>
        <w:pStyle w:val="45"/>
        <w:spacing w:line="360" w:lineRule="auto"/>
        <w:ind w:left="354" w:hanging="354" w:hangingChars="177"/>
        <w:rPr>
          <w:sz w:val="20"/>
        </w:rPr>
      </w:pPr>
      <w:r>
        <w:rPr>
          <w:sz w:val="20"/>
        </w:rPr>
        <w:t>Breiman, L., 2001. Random forests. Machine Learning 45(1) 5-32.</w:t>
      </w:r>
    </w:p>
    <w:p>
      <w:pPr>
        <w:pStyle w:val="45"/>
        <w:spacing w:line="360" w:lineRule="auto"/>
        <w:ind w:left="354" w:hanging="354" w:hangingChars="177"/>
        <w:rPr>
          <w:sz w:val="20"/>
        </w:rPr>
      </w:pPr>
      <w:r>
        <w:rPr>
          <w:sz w:val="20"/>
        </w:rPr>
        <w:t>Elanayar, V.T.S., Shin, Y.C., 1994. Radial basis function neural network for approximation and estimation of nonlinear stochastic dynamic systems. IEEE Transactions on Neural Networks 5(4) 594-603.</w:t>
      </w:r>
    </w:p>
    <w:p>
      <w:pPr>
        <w:pStyle w:val="45"/>
        <w:spacing w:line="360" w:lineRule="auto"/>
        <w:ind w:left="354" w:hanging="354" w:hangingChars="177"/>
        <w:rPr>
          <w:sz w:val="20"/>
        </w:rPr>
      </w:pPr>
      <w:r>
        <w:rPr>
          <w:sz w:val="20"/>
        </w:rPr>
        <w:t>Hilbert, D.W., Ostendorf, B., 2001. The utility of artificial neural networks for modelling the distribution of vegetation in past, present and future climates. Ecological Modelling 146(1-3) 311-327.</w:t>
      </w:r>
    </w:p>
    <w:p>
      <w:pPr>
        <w:pStyle w:val="45"/>
        <w:spacing w:line="360" w:lineRule="auto"/>
        <w:ind w:left="354" w:hanging="354" w:hangingChars="177"/>
        <w:rPr>
          <w:sz w:val="20"/>
        </w:rPr>
      </w:pPr>
      <w:r>
        <w:rPr>
          <w:sz w:val="20"/>
        </w:rPr>
        <w:t>Hu, M.G., Wang, J.F., Zhao, Y., Jia, L., 2013. A B-SHADE based best linear unbiased estimation tool for biased samples. Environmental Modelling &amp; Software 48(48) 93-97.</w:t>
      </w:r>
    </w:p>
    <w:p>
      <w:pPr>
        <w:pStyle w:val="45"/>
        <w:spacing w:line="360" w:lineRule="auto"/>
        <w:ind w:left="354" w:hanging="354" w:hangingChars="177"/>
        <w:rPr>
          <w:sz w:val="20"/>
        </w:rPr>
      </w:pPr>
      <w:r>
        <w:rPr>
          <w:sz w:val="20"/>
        </w:rPr>
        <w:t>Nath, S., Kotal, S.D., Kundu, P.K., 2016. Seasonal prediction of tropical cyclone activity over the north Indian Ocean using three artificial neural networks. Meteorology and Atmospheric Physics 128(6) 751-762.</w:t>
      </w:r>
    </w:p>
    <w:p>
      <w:pPr>
        <w:pStyle w:val="45"/>
        <w:spacing w:line="360" w:lineRule="auto"/>
        <w:ind w:left="354" w:hanging="354" w:hangingChars="177"/>
        <w:rPr>
          <w:sz w:val="20"/>
        </w:rPr>
      </w:pPr>
      <w:r>
        <w:rPr>
          <w:rFonts w:hint="eastAsia"/>
          <w:sz w:val="20"/>
        </w:rPr>
        <w:t>Sarimveis, H., Alexandridis, A., Mazarakis, S., Bafas, G., 2004. A new algorithm for developing dynamic radial basis function neural network models based on genetic algorithms ☆.</w:t>
      </w:r>
      <w:r>
        <w:rPr>
          <w:sz w:val="20"/>
        </w:rPr>
        <w:t xml:space="preserve"> Computers &amp; Chemical Engineering 28(1–2) 209-217.</w:t>
      </w:r>
    </w:p>
    <w:p>
      <w:pPr>
        <w:pStyle w:val="45"/>
        <w:spacing w:line="360" w:lineRule="auto"/>
        <w:ind w:left="354" w:hanging="354" w:hangingChars="177"/>
        <w:rPr>
          <w:sz w:val="20"/>
        </w:rPr>
      </w:pPr>
      <w:r>
        <w:rPr>
          <w:sz w:val="20"/>
        </w:rPr>
        <w:t>Ukil, A., 2002. Support vector machine. Computer Science 1(4) 1-28.</w:t>
      </w:r>
    </w:p>
    <w:p>
      <w:pPr>
        <w:pStyle w:val="45"/>
        <w:spacing w:line="360" w:lineRule="auto"/>
        <w:ind w:left="354" w:hanging="354" w:hangingChars="177"/>
        <w:rPr>
          <w:sz w:val="20"/>
        </w:rPr>
      </w:pPr>
      <w:r>
        <w:rPr>
          <w:sz w:val="20"/>
        </w:rPr>
        <w:t>Wang, J.F., Reis, B.Y., Hu, M.G., George, C., Yang, W.Z., Qiao, S., Li, Z.J., Li, X.Z., Lai, S.J., Chen, H.Y., 2011. Area Disease Estimation Based on Sentinel Hospital Records. Plos One 6(8) e23428.</w:t>
      </w:r>
    </w:p>
    <w:p>
      <w:pPr>
        <w:pStyle w:val="45"/>
        <w:spacing w:line="360" w:lineRule="auto"/>
        <w:ind w:left="354" w:hanging="354" w:hangingChars="177"/>
        <w:rPr>
          <w:sz w:val="20"/>
        </w:rPr>
      </w:pPr>
      <w:r>
        <w:rPr>
          <w:sz w:val="20"/>
        </w:rPr>
        <w:t>Xu, C.D., 2013. Modeling of uncertainty of temperature observation and anomaly stratification. University of Chinese Academy of Sciences.</w:t>
      </w:r>
    </w:p>
    <w:p>
      <w:pPr>
        <w:pStyle w:val="45"/>
        <w:spacing w:line="360" w:lineRule="auto"/>
        <w:ind w:left="354" w:hanging="354" w:hangingChars="177"/>
        <w:rPr>
          <w:sz w:val="20"/>
        </w:rPr>
      </w:pPr>
      <w:r>
        <w:rPr>
          <w:sz w:val="20"/>
        </w:rPr>
        <w:t>Xu, C.D., Wang, J.F., Hu, M.G., Li, Q.X., 2013. Interpolation of missing temperature data at meteorological stations using P-BSHADE*. Journal of Climate 26(19) 7452-7463.</w:t>
      </w:r>
    </w:p>
    <w:p>
      <w:pPr>
        <w:pStyle w:val="45"/>
        <w:spacing w:line="360" w:lineRule="auto"/>
        <w:ind w:left="354" w:hanging="354" w:hangingChars="177"/>
        <w:rPr>
          <w:sz w:val="20"/>
        </w:rPr>
      </w:pPr>
      <w:r>
        <w:rPr>
          <w:sz w:val="20"/>
        </w:rPr>
        <w:t>Zakian, P., 2017. An efficient stochastic dynamic analysis of soil media using radial basis function artificial neural network. Frontiers of Structural and Civil Engineering 11(4) 470-479.</w:t>
      </w:r>
    </w:p>
    <w:sectPr>
      <w:headerReference r:id="rId5" w:type="first"/>
      <w:footerReference r:id="rId8" w:type="first"/>
      <w:headerReference r:id="rId3" w:type="default"/>
      <w:footerReference r:id="rId6" w:type="default"/>
      <w:headerReference r:id="rId4" w:type="even"/>
      <w:footerReference r:id="rId7" w:type="even"/>
      <w:pgSz w:w="11906" w:h="16838"/>
      <w:pgMar w:top="1440" w:right="1077" w:bottom="1440" w:left="1077" w:header="851" w:footer="992" w:gutter="0"/>
      <w:lnNumType w:countBy="1" w:restart="continuous"/>
      <w:cols w:space="720"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Arial Unicode MS">
    <w:panose1 w:val="020B0604020202020204"/>
    <w:charset w:val="86"/>
    <w:family w:val="roman"/>
    <w:pitch w:val="default"/>
    <w:sig w:usb0="FFFFFFFF" w:usb1="E9FFFFFF" w:usb2="0000003F" w:usb3="00000000" w:csb0="603F01FF" w:csb1="FFFF0000"/>
  </w:font>
  <w:font w:name="DengXian">
    <w:altName w:val="微软雅黑"/>
    <w:panose1 w:val="00000000000000000000"/>
    <w:charset w:val="86"/>
    <w:family w:val="auto"/>
    <w:pitch w:val="default"/>
    <w:sig w:usb0="00000000" w:usb1="00000000" w:usb2="00000016" w:usb3="00000000" w:csb0="0004000F" w:csb1="00000000"/>
  </w:font>
  <w:font w:name="Microsoft YaHei UI">
    <w:panose1 w:val="020B0503020204020204"/>
    <w:charset w:val="86"/>
    <w:family w:val="swiss"/>
    <w:pitch w:val="default"/>
    <w:sig w:usb0="80000287" w:usb1="28CF3C52" w:usb2="00000016" w:usb3="00000000" w:csb0="0004001F" w:csb1="00000000"/>
  </w:font>
  <w:font w:name="Helvetica">
    <w:panose1 w:val="020B0604020202030204"/>
    <w:charset w:val="00"/>
    <w:family w:val="swiss"/>
    <w:pitch w:val="default"/>
    <w:sig w:usb0="00000000" w:usb1="00000000" w:usb2="00000000" w:usb3="00000000" w:csb0="00000093" w:csb1="00000000"/>
  </w:font>
  <w:font w:name="Calibri Light">
    <w:panose1 w:val="020F0302020204030204"/>
    <w:charset w:val="00"/>
    <w:family w:val="swiss"/>
    <w:pitch w:val="default"/>
    <w:sig w:usb0="A00002EF" w:usb1="4000207B" w:usb2="00000000" w:usb3="00000000" w:csb0="2000019F" w:csb1="00000000"/>
  </w:font>
  <w:font w:name="华文楷体">
    <w:panose1 w:val="02010600040101010101"/>
    <w:charset w:val="86"/>
    <w:family w:val="roman"/>
    <w:pitch w:val="default"/>
    <w:sig w:usb0="00000287" w:usb1="080F0000" w:usb2="00000000" w:usb3="00000000" w:csb0="0004009F" w:csb1="DFD70000"/>
  </w:font>
  <w:font w:name="FangSong_GB2312">
    <w:altName w:val="仿宋"/>
    <w:panose1 w:val="02010609060101010101"/>
    <w:charset w:val="00"/>
    <w:family w:val="roman"/>
    <w:pitch w:val="default"/>
    <w:sig w:usb0="00000000" w:usb1="00000000" w:usb2="00000000" w:usb3="00000000" w:csb0="00000000" w:csb1="00000000"/>
  </w:font>
  <w:font w:name="Cambria Math">
    <w:panose1 w:val="02040503050406030204"/>
    <w:charset w:val="00"/>
    <w:family w:val="roman"/>
    <w:pitch w:val="default"/>
    <w:sig w:usb0="E00002FF" w:usb1="420024FF" w:usb2="00000000" w:usb3="00000000" w:csb0="2000019F" w:csb1="00000000"/>
  </w:font>
  <w:font w:name="Palatino Linotype">
    <w:panose1 w:val="02040502050505030304"/>
    <w:charset w:val="00"/>
    <w:family w:val="roman"/>
    <w:pitch w:val="default"/>
    <w:sig w:usb0="E0000287" w:usb1="40000013" w:usb2="00000000" w:usb3="00000000" w:csb0="2000019F"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r>
      <w:rPr>
        <w:sz w:val="18"/>
      </w:rPr>
      <w:pict>
        <v:shape id="_x0000_s4097" o:spid="_x0000_s4097"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1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48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val="1"/>
  <w:embedSystemFonts/>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EN.InstantFormat" w:val="&lt;ENInstantFormat&gt;&lt;Enabled&gt;1&lt;/Enabled&gt;&lt;ScanUnformatted&gt;1&lt;/ScanUnformatted&gt;&lt;ScanChanges&gt;1&lt;/ScanChanges&gt;&lt;Suspended&gt;1&lt;/Suspended&gt;&lt;/ENInstantFormat&gt;"/>
  </w:docVars>
  <w:rsids>
    <w:rsidRoot w:val="00735C44"/>
    <w:rsid w:val="00007301"/>
    <w:rsid w:val="000665AD"/>
    <w:rsid w:val="00077C02"/>
    <w:rsid w:val="00085C49"/>
    <w:rsid w:val="000A19FD"/>
    <w:rsid w:val="000B3BB8"/>
    <w:rsid w:val="000C4A8E"/>
    <w:rsid w:val="000F608E"/>
    <w:rsid w:val="00136B3B"/>
    <w:rsid w:val="00156289"/>
    <w:rsid w:val="001813F3"/>
    <w:rsid w:val="001A146F"/>
    <w:rsid w:val="001A596A"/>
    <w:rsid w:val="001D0CEF"/>
    <w:rsid w:val="001D1B89"/>
    <w:rsid w:val="001F3035"/>
    <w:rsid w:val="00210066"/>
    <w:rsid w:val="00232DB6"/>
    <w:rsid w:val="002521B7"/>
    <w:rsid w:val="00255D7B"/>
    <w:rsid w:val="00275FE0"/>
    <w:rsid w:val="00276D44"/>
    <w:rsid w:val="00277C8A"/>
    <w:rsid w:val="00290886"/>
    <w:rsid w:val="002B7FEF"/>
    <w:rsid w:val="002C5337"/>
    <w:rsid w:val="002D740A"/>
    <w:rsid w:val="002E407B"/>
    <w:rsid w:val="00381D0A"/>
    <w:rsid w:val="003870A2"/>
    <w:rsid w:val="003D0EC9"/>
    <w:rsid w:val="003D7649"/>
    <w:rsid w:val="003F2C62"/>
    <w:rsid w:val="00402AE7"/>
    <w:rsid w:val="004163BF"/>
    <w:rsid w:val="00417392"/>
    <w:rsid w:val="00432547"/>
    <w:rsid w:val="004339F2"/>
    <w:rsid w:val="00476A46"/>
    <w:rsid w:val="00482FF5"/>
    <w:rsid w:val="0048592D"/>
    <w:rsid w:val="004B346C"/>
    <w:rsid w:val="005700E7"/>
    <w:rsid w:val="005A669C"/>
    <w:rsid w:val="005E6D0C"/>
    <w:rsid w:val="005F573C"/>
    <w:rsid w:val="00667DB7"/>
    <w:rsid w:val="00670B0B"/>
    <w:rsid w:val="006A4F43"/>
    <w:rsid w:val="006B39F4"/>
    <w:rsid w:val="007119F5"/>
    <w:rsid w:val="00735C44"/>
    <w:rsid w:val="007422F9"/>
    <w:rsid w:val="007507B4"/>
    <w:rsid w:val="0076634E"/>
    <w:rsid w:val="00766718"/>
    <w:rsid w:val="00785A1A"/>
    <w:rsid w:val="00797130"/>
    <w:rsid w:val="007A67B8"/>
    <w:rsid w:val="007B6810"/>
    <w:rsid w:val="007B6A12"/>
    <w:rsid w:val="00851AB0"/>
    <w:rsid w:val="008D4F23"/>
    <w:rsid w:val="00905274"/>
    <w:rsid w:val="009203DB"/>
    <w:rsid w:val="00930AC4"/>
    <w:rsid w:val="009355EE"/>
    <w:rsid w:val="009473A1"/>
    <w:rsid w:val="00982D1C"/>
    <w:rsid w:val="009B59A5"/>
    <w:rsid w:val="009F7876"/>
    <w:rsid w:val="00A46D0E"/>
    <w:rsid w:val="00A80550"/>
    <w:rsid w:val="00A85852"/>
    <w:rsid w:val="00AA6DFE"/>
    <w:rsid w:val="00B065B3"/>
    <w:rsid w:val="00B11DE2"/>
    <w:rsid w:val="00B80774"/>
    <w:rsid w:val="00BA3C13"/>
    <w:rsid w:val="00BB2225"/>
    <w:rsid w:val="00BD5090"/>
    <w:rsid w:val="00C23222"/>
    <w:rsid w:val="00C24BAD"/>
    <w:rsid w:val="00CA0B9D"/>
    <w:rsid w:val="00CB76D3"/>
    <w:rsid w:val="00CD1F5E"/>
    <w:rsid w:val="00CD6DCF"/>
    <w:rsid w:val="00D44D07"/>
    <w:rsid w:val="00D70A29"/>
    <w:rsid w:val="00DA4CBB"/>
    <w:rsid w:val="00DA59FD"/>
    <w:rsid w:val="00DD6AA8"/>
    <w:rsid w:val="00E377C9"/>
    <w:rsid w:val="00E778DF"/>
    <w:rsid w:val="00EA74F0"/>
    <w:rsid w:val="00EB20EC"/>
    <w:rsid w:val="00EF06CC"/>
    <w:rsid w:val="00EF2CAB"/>
    <w:rsid w:val="00EF4BEC"/>
    <w:rsid w:val="00F142FE"/>
    <w:rsid w:val="00F31F9B"/>
    <w:rsid w:val="00F84255"/>
    <w:rsid w:val="00F90E65"/>
    <w:rsid w:val="00F9152B"/>
    <w:rsid w:val="00FA18F6"/>
    <w:rsid w:val="00FD3495"/>
    <w:rsid w:val="0DF7631B"/>
    <w:rsid w:val="11E92999"/>
    <w:rsid w:val="13AF06BF"/>
    <w:rsid w:val="18182F0D"/>
    <w:rsid w:val="1BB52122"/>
    <w:rsid w:val="1D402E3F"/>
    <w:rsid w:val="1F730E99"/>
    <w:rsid w:val="31283960"/>
    <w:rsid w:val="344B1969"/>
    <w:rsid w:val="39890983"/>
    <w:rsid w:val="3A215CF0"/>
    <w:rsid w:val="3C376B03"/>
    <w:rsid w:val="3CA54592"/>
    <w:rsid w:val="413C7B0C"/>
    <w:rsid w:val="43A41EF6"/>
    <w:rsid w:val="45644170"/>
    <w:rsid w:val="45FD2594"/>
    <w:rsid w:val="49873A3D"/>
    <w:rsid w:val="4C7975D0"/>
    <w:rsid w:val="665B6CCD"/>
    <w:rsid w:val="69EA3AD8"/>
    <w:rsid w:val="6A393ACD"/>
    <w:rsid w:val="6F861FB6"/>
    <w:rsid w:val="75941288"/>
    <w:rsid w:val="7A7242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Theme="minorEastAsia"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99" w:semiHidden="0" w:name="annotation text"/>
    <w:lsdException w:qFormat="1" w:uiPriority="0" w:semiHidden="0" w:name="header"/>
    <w:lsdException w:qFormat="1"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iPriority="99" w:semiHidden="0" w:name="annotation reference"/>
    <w:lsdException w:qFormat="1" w:uiPriority="99" w:semiHidden="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semiHidden="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qFormat="1" w:uiPriority="99"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0"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cs="Times New Roman" w:eastAsiaTheme="minorEastAsia"/>
      <w:kern w:val="2"/>
      <w:sz w:val="24"/>
      <w:szCs w:val="22"/>
      <w:lang w:val="en-US" w:eastAsia="zh-CN" w:bidi="ar-SA"/>
    </w:rPr>
  </w:style>
  <w:style w:type="paragraph" w:styleId="2">
    <w:name w:val="heading 1"/>
    <w:basedOn w:val="1"/>
    <w:next w:val="1"/>
    <w:link w:val="23"/>
    <w:qFormat/>
    <w:uiPriority w:val="0"/>
    <w:pPr>
      <w:keepNext/>
      <w:keepLines/>
      <w:spacing w:before="340" w:after="330" w:line="578" w:lineRule="auto"/>
      <w:jc w:val="center"/>
      <w:outlineLvl w:val="0"/>
    </w:pPr>
    <w:rPr>
      <w:rFonts w:eastAsia="黑体"/>
      <w:b/>
      <w:bCs/>
      <w:kern w:val="44"/>
      <w:sz w:val="36"/>
      <w:szCs w:val="44"/>
    </w:rPr>
  </w:style>
  <w:style w:type="paragraph" w:styleId="3">
    <w:name w:val="heading 2"/>
    <w:basedOn w:val="1"/>
    <w:next w:val="1"/>
    <w:link w:val="76"/>
    <w:qFormat/>
    <w:uiPriority w:val="0"/>
    <w:pPr>
      <w:keepNext/>
      <w:widowControl/>
      <w:spacing w:before="240" w:after="240" w:line="240" w:lineRule="auto"/>
      <w:ind w:firstLine="0" w:firstLineChars="0"/>
      <w:outlineLvl w:val="1"/>
    </w:pPr>
    <w:rPr>
      <w:rFonts w:eastAsia="Times New Roman" w:cs="Arial"/>
      <w:b/>
      <w:bCs/>
      <w:iCs/>
      <w:kern w:val="0"/>
      <w:sz w:val="20"/>
      <w:szCs w:val="28"/>
      <w:lang w:val="en-GB" w:eastAsia="de-DE"/>
    </w:rPr>
  </w:style>
  <w:style w:type="paragraph" w:styleId="4">
    <w:name w:val="heading 3"/>
    <w:basedOn w:val="1"/>
    <w:next w:val="1"/>
    <w:link w:val="77"/>
    <w:qFormat/>
    <w:uiPriority w:val="0"/>
    <w:pPr>
      <w:keepNext/>
      <w:widowControl/>
      <w:spacing w:before="240" w:after="240" w:line="240" w:lineRule="auto"/>
      <w:ind w:firstLine="0" w:firstLineChars="0"/>
      <w:outlineLvl w:val="2"/>
    </w:pPr>
    <w:rPr>
      <w:rFonts w:eastAsia="Times New Roman" w:cs="Arial"/>
      <w:b/>
      <w:bCs/>
      <w:kern w:val="0"/>
      <w:sz w:val="20"/>
      <w:szCs w:val="26"/>
      <w:lang w:val="en-GB" w:eastAsia="de-DE"/>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Layout w:type="fixed"/>
      <w:tblCellMar>
        <w:top w:w="0" w:type="dxa"/>
        <w:left w:w="108" w:type="dxa"/>
        <w:bottom w:w="0" w:type="dxa"/>
        <w:right w:w="108" w:type="dxa"/>
      </w:tblCellMar>
    </w:tblPr>
  </w:style>
  <w:style w:type="paragraph" w:styleId="5">
    <w:name w:val="Document Map"/>
    <w:basedOn w:val="1"/>
    <w:link w:val="71"/>
    <w:unhideWhenUsed/>
    <w:qFormat/>
    <w:uiPriority w:val="99"/>
    <w:pPr>
      <w:spacing w:line="240" w:lineRule="auto"/>
      <w:ind w:firstLine="0" w:firstLineChars="0"/>
    </w:pPr>
    <w:rPr>
      <w:rFonts w:ascii="宋体" w:hAnsi="Arial Unicode MS"/>
      <w:color w:val="000000"/>
      <w:sz w:val="18"/>
      <w:szCs w:val="18"/>
      <w:u w:color="000000"/>
      <w:lang w:eastAsia="en-US"/>
    </w:rPr>
  </w:style>
  <w:style w:type="paragraph" w:styleId="6">
    <w:name w:val="annotation text"/>
    <w:basedOn w:val="1"/>
    <w:link w:val="25"/>
    <w:unhideWhenUsed/>
    <w:qFormat/>
    <w:uiPriority w:val="99"/>
    <w:pPr>
      <w:jc w:val="left"/>
    </w:pPr>
  </w:style>
  <w:style w:type="paragraph" w:styleId="7">
    <w:name w:val="Body Text"/>
    <w:basedOn w:val="1"/>
    <w:link w:val="26"/>
    <w:unhideWhenUsed/>
    <w:qFormat/>
    <w:uiPriority w:val="99"/>
    <w:pPr>
      <w:spacing w:after="120"/>
    </w:pPr>
  </w:style>
  <w:style w:type="paragraph" w:styleId="8">
    <w:name w:val="toc 3"/>
    <w:basedOn w:val="1"/>
    <w:next w:val="1"/>
    <w:unhideWhenUsed/>
    <w:qFormat/>
    <w:uiPriority w:val="39"/>
    <w:pPr>
      <w:widowControl/>
      <w:spacing w:after="100" w:line="276" w:lineRule="auto"/>
      <w:ind w:left="440" w:firstLine="0" w:firstLineChars="0"/>
      <w:jc w:val="left"/>
    </w:pPr>
    <w:rPr>
      <w:rFonts w:ascii="Calibri" w:hAnsi="Calibri"/>
      <w:kern w:val="0"/>
      <w:sz w:val="22"/>
    </w:rPr>
  </w:style>
  <w:style w:type="paragraph" w:styleId="9">
    <w:name w:val="Balloon Text"/>
    <w:basedOn w:val="1"/>
    <w:link w:val="27"/>
    <w:unhideWhenUsed/>
    <w:qFormat/>
    <w:uiPriority w:val="99"/>
    <w:pPr>
      <w:spacing w:line="240" w:lineRule="auto"/>
    </w:pPr>
    <w:rPr>
      <w:sz w:val="18"/>
      <w:szCs w:val="18"/>
    </w:rPr>
  </w:style>
  <w:style w:type="paragraph" w:styleId="10">
    <w:name w:val="footer"/>
    <w:basedOn w:val="1"/>
    <w:link w:val="28"/>
    <w:unhideWhenUsed/>
    <w:qFormat/>
    <w:uiPriority w:val="99"/>
    <w:pPr>
      <w:tabs>
        <w:tab w:val="center" w:pos="4153"/>
        <w:tab w:val="right" w:pos="8306"/>
      </w:tabs>
      <w:snapToGrid w:val="0"/>
      <w:spacing w:line="240" w:lineRule="auto"/>
      <w:jc w:val="left"/>
    </w:pPr>
    <w:rPr>
      <w:sz w:val="18"/>
      <w:szCs w:val="18"/>
    </w:rPr>
  </w:style>
  <w:style w:type="paragraph" w:styleId="11">
    <w:name w:val="header"/>
    <w:basedOn w:val="1"/>
    <w:link w:val="29"/>
    <w:unhideWhenUsed/>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12">
    <w:name w:val="toc 1"/>
    <w:basedOn w:val="1"/>
    <w:next w:val="1"/>
    <w:unhideWhenUsed/>
    <w:qFormat/>
    <w:uiPriority w:val="39"/>
    <w:pPr>
      <w:widowControl/>
      <w:spacing w:after="100" w:line="276" w:lineRule="auto"/>
      <w:ind w:firstLine="0" w:firstLineChars="0"/>
      <w:jc w:val="left"/>
    </w:pPr>
    <w:rPr>
      <w:rFonts w:ascii="Calibri" w:hAnsi="Calibri"/>
      <w:kern w:val="0"/>
      <w:sz w:val="22"/>
    </w:rPr>
  </w:style>
  <w:style w:type="paragraph" w:styleId="13">
    <w:name w:val="toc 2"/>
    <w:basedOn w:val="1"/>
    <w:next w:val="1"/>
    <w:unhideWhenUsed/>
    <w:qFormat/>
    <w:uiPriority w:val="39"/>
    <w:pPr>
      <w:widowControl/>
      <w:spacing w:after="100" w:line="276" w:lineRule="auto"/>
      <w:ind w:left="220" w:firstLine="0" w:firstLineChars="0"/>
      <w:jc w:val="left"/>
    </w:pPr>
    <w:rPr>
      <w:rFonts w:ascii="Calibri" w:hAnsi="Calibri"/>
      <w:kern w:val="0"/>
      <w:sz w:val="22"/>
    </w:rPr>
  </w:style>
  <w:style w:type="paragraph" w:styleId="14">
    <w:name w:val="Normal (Web)"/>
    <w:basedOn w:val="1"/>
    <w:unhideWhenUsed/>
    <w:qFormat/>
    <w:uiPriority w:val="99"/>
    <w:pPr>
      <w:widowControl/>
      <w:spacing w:before="100" w:beforeAutospacing="1" w:after="100" w:afterAutospacing="1" w:line="240" w:lineRule="auto"/>
      <w:ind w:firstLine="0" w:firstLineChars="0"/>
      <w:jc w:val="left"/>
    </w:pPr>
    <w:rPr>
      <w:rFonts w:ascii="宋体" w:hAnsi="宋体" w:cs="宋体"/>
      <w:kern w:val="0"/>
      <w:szCs w:val="24"/>
      <w:u w:color="000000"/>
    </w:rPr>
  </w:style>
  <w:style w:type="paragraph" w:styleId="15">
    <w:name w:val="annotation subject"/>
    <w:basedOn w:val="6"/>
    <w:next w:val="6"/>
    <w:link w:val="30"/>
    <w:unhideWhenUsed/>
    <w:qFormat/>
    <w:uiPriority w:val="99"/>
    <w:rPr>
      <w:b/>
      <w:bCs/>
    </w:rPr>
  </w:style>
  <w:style w:type="table" w:styleId="17">
    <w:name w:val="Table Grid"/>
    <w:basedOn w:val="16"/>
    <w:qFormat/>
    <w:uiPriority w:val="0"/>
    <w:rPr>
      <w:rFonts w:eastAsia="DengXi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19">
    <w:name w:val="Emphasis"/>
    <w:qFormat/>
    <w:uiPriority w:val="0"/>
    <w:rPr>
      <w:i/>
      <w:iCs/>
    </w:rPr>
  </w:style>
  <w:style w:type="character" w:styleId="20">
    <w:name w:val="line number"/>
    <w:basedOn w:val="18"/>
    <w:unhideWhenUsed/>
    <w:qFormat/>
    <w:uiPriority w:val="99"/>
  </w:style>
  <w:style w:type="character" w:styleId="21">
    <w:name w:val="Hyperlink"/>
    <w:unhideWhenUsed/>
    <w:qFormat/>
    <w:uiPriority w:val="99"/>
    <w:rPr>
      <w:color w:val="0563C1"/>
      <w:u w:val="single"/>
    </w:rPr>
  </w:style>
  <w:style w:type="character" w:styleId="22">
    <w:name w:val="annotation reference"/>
    <w:unhideWhenUsed/>
    <w:qFormat/>
    <w:uiPriority w:val="99"/>
    <w:rPr>
      <w:sz w:val="21"/>
      <w:szCs w:val="21"/>
    </w:rPr>
  </w:style>
  <w:style w:type="character" w:customStyle="1" w:styleId="23">
    <w:name w:val="标题 1 Char"/>
    <w:link w:val="2"/>
    <w:qFormat/>
    <w:uiPriority w:val="9"/>
    <w:rPr>
      <w:rFonts w:eastAsia="黑体"/>
      <w:b/>
      <w:bCs/>
      <w:kern w:val="44"/>
      <w:sz w:val="36"/>
      <w:szCs w:val="44"/>
    </w:rPr>
  </w:style>
  <w:style w:type="character" w:customStyle="1" w:styleId="24">
    <w:name w:val="文档结构图 Char"/>
    <w:qFormat/>
    <w:uiPriority w:val="99"/>
    <w:rPr>
      <w:rFonts w:ascii="Microsoft YaHei UI" w:hAnsi="Times New Roman" w:eastAsia="Microsoft YaHei UI"/>
      <w:kern w:val="2"/>
      <w:sz w:val="18"/>
      <w:szCs w:val="18"/>
    </w:rPr>
  </w:style>
  <w:style w:type="character" w:customStyle="1" w:styleId="25">
    <w:name w:val="批注文字 Char"/>
    <w:link w:val="6"/>
    <w:qFormat/>
    <w:uiPriority w:val="99"/>
    <w:rPr>
      <w:kern w:val="2"/>
      <w:sz w:val="24"/>
      <w:szCs w:val="22"/>
    </w:rPr>
  </w:style>
  <w:style w:type="character" w:customStyle="1" w:styleId="26">
    <w:name w:val="正文文本 Char"/>
    <w:link w:val="7"/>
    <w:qFormat/>
    <w:uiPriority w:val="99"/>
    <w:rPr>
      <w:kern w:val="2"/>
      <w:sz w:val="24"/>
      <w:szCs w:val="22"/>
    </w:rPr>
  </w:style>
  <w:style w:type="character" w:customStyle="1" w:styleId="27">
    <w:name w:val="批注框文本 Char"/>
    <w:link w:val="9"/>
    <w:qFormat/>
    <w:uiPriority w:val="99"/>
    <w:rPr>
      <w:kern w:val="2"/>
      <w:sz w:val="18"/>
      <w:szCs w:val="18"/>
    </w:rPr>
  </w:style>
  <w:style w:type="character" w:customStyle="1" w:styleId="28">
    <w:name w:val="页脚 Char"/>
    <w:link w:val="10"/>
    <w:qFormat/>
    <w:uiPriority w:val="99"/>
    <w:rPr>
      <w:kern w:val="2"/>
      <w:sz w:val="18"/>
      <w:szCs w:val="18"/>
    </w:rPr>
  </w:style>
  <w:style w:type="character" w:customStyle="1" w:styleId="29">
    <w:name w:val="页眉 Char"/>
    <w:link w:val="11"/>
    <w:qFormat/>
    <w:uiPriority w:val="99"/>
    <w:rPr>
      <w:kern w:val="2"/>
      <w:sz w:val="18"/>
      <w:szCs w:val="18"/>
    </w:rPr>
  </w:style>
  <w:style w:type="character" w:customStyle="1" w:styleId="30">
    <w:name w:val="批注主题 Char"/>
    <w:link w:val="15"/>
    <w:qFormat/>
    <w:uiPriority w:val="99"/>
    <w:rPr>
      <w:b/>
      <w:bCs/>
      <w:kern w:val="2"/>
      <w:sz w:val="24"/>
      <w:szCs w:val="22"/>
    </w:rPr>
  </w:style>
  <w:style w:type="paragraph" w:customStyle="1" w:styleId="31">
    <w:name w:val="样式 标题 1 + Times New Roman 五号 非加粗 左侧:  0 厘米 悬挂缩进: 3.5 字符 行距:..."/>
    <w:basedOn w:val="2"/>
    <w:qFormat/>
    <w:uiPriority w:val="0"/>
    <w:pPr>
      <w:keepNext w:val="0"/>
      <w:keepLines w:val="0"/>
      <w:widowControl/>
      <w:shd w:val="clear" w:color="auto" w:fill="FFFFFF"/>
      <w:spacing w:before="100" w:beforeAutospacing="1" w:after="100" w:afterAutospacing="1" w:line="360" w:lineRule="auto"/>
      <w:ind w:hanging="737" w:hangingChars="350"/>
      <w:jc w:val="left"/>
      <w:outlineLvl w:val="9"/>
    </w:pPr>
    <w:rPr>
      <w:rFonts w:eastAsia="宋体"/>
      <w:b w:val="0"/>
      <w:bCs w:val="0"/>
      <w:kern w:val="36"/>
      <w:sz w:val="21"/>
      <w:szCs w:val="20"/>
    </w:rPr>
  </w:style>
  <w:style w:type="paragraph" w:customStyle="1" w:styleId="32">
    <w:name w:val="Header &amp; Footer"/>
    <w:qFormat/>
    <w:uiPriority w:val="0"/>
    <w:pPr>
      <w:tabs>
        <w:tab w:val="right" w:pos="9020"/>
      </w:tabs>
    </w:pPr>
    <w:rPr>
      <w:rFonts w:ascii="Helvetica" w:hAnsi="Arial Unicode MS" w:cs="Arial Unicode MS" w:eastAsiaTheme="minorEastAsia"/>
      <w:color w:val="000000"/>
      <w:sz w:val="24"/>
      <w:szCs w:val="24"/>
      <w:lang w:val="en-US" w:eastAsia="en-US" w:bidi="ar-SA"/>
    </w:rPr>
  </w:style>
  <w:style w:type="paragraph" w:customStyle="1" w:styleId="33">
    <w:name w:val="图题注"/>
    <w:basedOn w:val="1"/>
    <w:link w:val="66"/>
    <w:qFormat/>
    <w:uiPriority w:val="0"/>
    <w:pPr>
      <w:widowControl/>
      <w:snapToGrid w:val="0"/>
      <w:spacing w:before="120" w:afterLines="50" w:line="240" w:lineRule="auto"/>
      <w:ind w:firstLine="0" w:firstLineChars="0"/>
      <w:jc w:val="center"/>
    </w:pPr>
    <w:rPr>
      <w:rFonts w:eastAsia="黑体"/>
      <w:color w:val="000000"/>
      <w:spacing w:val="-4"/>
      <w:kern w:val="0"/>
      <w:sz w:val="20"/>
      <w:szCs w:val="21"/>
    </w:rPr>
  </w:style>
  <w:style w:type="paragraph" w:customStyle="1" w:styleId="34">
    <w:name w:val="TOC 标题1"/>
    <w:basedOn w:val="2"/>
    <w:next w:val="1"/>
    <w:unhideWhenUsed/>
    <w:qFormat/>
    <w:uiPriority w:val="39"/>
    <w:pPr>
      <w:widowControl/>
      <w:spacing w:before="480" w:after="0" w:line="276" w:lineRule="auto"/>
      <w:ind w:firstLine="0" w:firstLineChars="0"/>
      <w:jc w:val="left"/>
      <w:outlineLvl w:val="9"/>
    </w:pPr>
    <w:rPr>
      <w:rFonts w:ascii="Calibri Light" w:hAnsi="Calibri Light" w:eastAsia="宋体"/>
      <w:color w:val="2E74B5"/>
      <w:kern w:val="0"/>
      <w:sz w:val="28"/>
      <w:szCs w:val="28"/>
    </w:rPr>
  </w:style>
  <w:style w:type="paragraph" w:customStyle="1" w:styleId="35">
    <w:name w:val="样式 标题 1 + Times New Roman 五号 非加粗 左侧:  0 厘米 悬挂缩进: 3.5 字符 段前:..."/>
    <w:basedOn w:val="2"/>
    <w:qFormat/>
    <w:uiPriority w:val="0"/>
    <w:pPr>
      <w:keepNext w:val="0"/>
      <w:keepLines w:val="0"/>
      <w:widowControl/>
      <w:shd w:val="clear" w:color="auto" w:fill="FFFFFF"/>
      <w:spacing w:before="100" w:beforeAutospacing="1" w:after="100" w:afterAutospacing="1" w:line="360" w:lineRule="auto"/>
      <w:ind w:hanging="737" w:hangingChars="350"/>
      <w:jc w:val="left"/>
      <w:outlineLvl w:val="9"/>
    </w:pPr>
    <w:rPr>
      <w:rFonts w:eastAsia="宋体"/>
      <w:b w:val="0"/>
      <w:bCs w:val="0"/>
      <w:kern w:val="36"/>
      <w:sz w:val="21"/>
      <w:szCs w:val="20"/>
    </w:rPr>
  </w:style>
  <w:style w:type="paragraph" w:customStyle="1" w:styleId="36">
    <w:name w:val="_Style 25"/>
    <w:basedOn w:val="1"/>
    <w:next w:val="1"/>
    <w:link w:val="72"/>
    <w:qFormat/>
    <w:uiPriority w:val="0"/>
    <w:pPr>
      <w:pBdr>
        <w:bottom w:val="single" w:color="auto" w:sz="6" w:space="1"/>
      </w:pBdr>
      <w:spacing w:line="240" w:lineRule="auto"/>
      <w:ind w:firstLine="0" w:firstLineChars="0"/>
      <w:jc w:val="center"/>
    </w:pPr>
    <w:rPr>
      <w:rFonts w:ascii="Arial" w:hAnsi="Arial Unicode MS" w:cs="Arial Unicode MS"/>
      <w:vanish/>
      <w:color w:val="000000"/>
      <w:sz w:val="16"/>
      <w:szCs w:val="21"/>
      <w:u w:color="000000"/>
      <w:lang w:eastAsia="en-US"/>
    </w:rPr>
  </w:style>
  <w:style w:type="paragraph" w:customStyle="1" w:styleId="37">
    <w:name w:val="作者及单位"/>
    <w:basedOn w:val="1"/>
    <w:qFormat/>
    <w:uiPriority w:val="0"/>
    <w:pPr>
      <w:ind w:firstLine="0" w:firstLineChars="0"/>
      <w:jc w:val="center"/>
    </w:pPr>
    <w:rPr>
      <w:rFonts w:eastAsia="华文楷体"/>
    </w:rPr>
  </w:style>
  <w:style w:type="paragraph" w:customStyle="1" w:styleId="38">
    <w:name w:val="First Paragraph"/>
    <w:basedOn w:val="7"/>
    <w:next w:val="7"/>
    <w:qFormat/>
    <w:uiPriority w:val="0"/>
    <w:pPr>
      <w:widowControl/>
      <w:spacing w:before="180" w:after="180" w:line="240" w:lineRule="auto"/>
      <w:ind w:firstLine="0" w:firstLineChars="0"/>
      <w:jc w:val="left"/>
    </w:pPr>
    <w:rPr>
      <w:rFonts w:ascii="Calibri" w:hAnsi="Calibri"/>
      <w:kern w:val="0"/>
      <w:szCs w:val="24"/>
    </w:rPr>
  </w:style>
  <w:style w:type="paragraph" w:customStyle="1" w:styleId="39">
    <w:name w:val="ordinary-output"/>
    <w:basedOn w:val="1"/>
    <w:qFormat/>
    <w:uiPriority w:val="0"/>
    <w:pPr>
      <w:widowControl/>
      <w:spacing w:before="100" w:beforeAutospacing="1" w:after="100" w:afterAutospacing="1" w:line="360" w:lineRule="atLeast"/>
      <w:ind w:firstLine="0" w:firstLineChars="0"/>
      <w:jc w:val="left"/>
    </w:pPr>
    <w:rPr>
      <w:rFonts w:eastAsia="Times New Roman"/>
      <w:color w:val="333333"/>
      <w:kern w:val="0"/>
      <w:sz w:val="29"/>
      <w:szCs w:val="29"/>
      <w:u w:color="000000"/>
    </w:rPr>
  </w:style>
  <w:style w:type="paragraph" w:customStyle="1" w:styleId="40">
    <w:name w:val="样式 标题 1 + Times New Roman 五号 非加粗"/>
    <w:basedOn w:val="2"/>
    <w:qFormat/>
    <w:uiPriority w:val="0"/>
    <w:pPr>
      <w:keepNext w:val="0"/>
      <w:keepLines w:val="0"/>
      <w:widowControl/>
      <w:spacing w:before="100" w:beforeAutospacing="1" w:after="100" w:afterAutospacing="1" w:line="240" w:lineRule="auto"/>
      <w:ind w:firstLine="0" w:firstLineChars="0"/>
      <w:jc w:val="left"/>
      <w:outlineLvl w:val="9"/>
    </w:pPr>
    <w:rPr>
      <w:rFonts w:eastAsia="宋体"/>
      <w:b w:val="0"/>
      <w:bCs w:val="0"/>
      <w:kern w:val="36"/>
      <w:sz w:val="21"/>
      <w:szCs w:val="48"/>
    </w:rPr>
  </w:style>
  <w:style w:type="paragraph" w:customStyle="1" w:styleId="41">
    <w:name w:val="_Style 30"/>
    <w:basedOn w:val="1"/>
    <w:next w:val="1"/>
    <w:link w:val="67"/>
    <w:qFormat/>
    <w:uiPriority w:val="0"/>
    <w:pPr>
      <w:pBdr>
        <w:top w:val="single" w:color="auto" w:sz="6" w:space="1"/>
      </w:pBdr>
      <w:spacing w:line="240" w:lineRule="auto"/>
      <w:ind w:firstLine="0" w:firstLineChars="0"/>
      <w:jc w:val="center"/>
    </w:pPr>
    <w:rPr>
      <w:rFonts w:ascii="Arial" w:hAnsi="Arial Unicode MS" w:cs="Arial Unicode MS"/>
      <w:vanish/>
      <w:color w:val="000000"/>
      <w:sz w:val="16"/>
      <w:szCs w:val="21"/>
      <w:u w:color="000000"/>
      <w:lang w:eastAsia="en-US"/>
    </w:rPr>
  </w:style>
  <w:style w:type="paragraph" w:customStyle="1" w:styleId="42">
    <w:name w:val="_Style 22"/>
    <w:basedOn w:val="1"/>
    <w:next w:val="1"/>
    <w:unhideWhenUsed/>
    <w:qFormat/>
    <w:uiPriority w:val="39"/>
    <w:pPr>
      <w:widowControl/>
      <w:spacing w:after="100" w:line="276" w:lineRule="auto"/>
      <w:ind w:left="440" w:firstLine="0" w:firstLineChars="0"/>
      <w:jc w:val="left"/>
    </w:pPr>
    <w:rPr>
      <w:rFonts w:ascii="Calibri" w:hAnsi="Calibri"/>
      <w:kern w:val="0"/>
      <w:sz w:val="22"/>
    </w:rPr>
  </w:style>
  <w:style w:type="paragraph" w:customStyle="1" w:styleId="43">
    <w:name w:val="表"/>
    <w:basedOn w:val="1"/>
    <w:link w:val="63"/>
    <w:qFormat/>
    <w:uiPriority w:val="0"/>
    <w:pPr>
      <w:keepNext/>
      <w:widowControl/>
      <w:spacing w:before="120"/>
      <w:ind w:firstLine="0" w:firstLineChars="0"/>
      <w:jc w:val="center"/>
    </w:pPr>
    <w:rPr>
      <w:rFonts w:eastAsia="黑体"/>
      <w:bCs/>
      <w:kern w:val="0"/>
      <w:sz w:val="20"/>
      <w:szCs w:val="21"/>
    </w:rPr>
  </w:style>
  <w:style w:type="paragraph" w:customStyle="1" w:styleId="44">
    <w:name w:val="样式 标题 1 + Times New Roman 五号 非加粗 左侧:  0 厘米 悬挂缩进: 3.5 字符 段后:..."/>
    <w:basedOn w:val="2"/>
    <w:qFormat/>
    <w:uiPriority w:val="0"/>
    <w:pPr>
      <w:keepNext w:val="0"/>
      <w:keepLines w:val="0"/>
      <w:widowControl/>
      <w:shd w:val="clear" w:color="auto" w:fill="FFFFFF"/>
      <w:spacing w:before="100" w:beforeAutospacing="1" w:after="100" w:afterAutospacing="1" w:line="360" w:lineRule="auto"/>
      <w:ind w:hanging="737" w:hangingChars="350"/>
      <w:jc w:val="left"/>
      <w:outlineLvl w:val="9"/>
    </w:pPr>
    <w:rPr>
      <w:rFonts w:eastAsia="宋体"/>
      <w:b w:val="0"/>
      <w:bCs w:val="0"/>
      <w:kern w:val="36"/>
      <w:sz w:val="21"/>
      <w:szCs w:val="20"/>
    </w:rPr>
  </w:style>
  <w:style w:type="paragraph" w:customStyle="1" w:styleId="45">
    <w:name w:val="EndNote Bibliography"/>
    <w:basedOn w:val="1"/>
    <w:qFormat/>
    <w:uiPriority w:val="0"/>
    <w:pPr>
      <w:spacing w:line="240" w:lineRule="auto"/>
      <w:ind w:firstLine="0" w:firstLineChars="0"/>
    </w:pPr>
    <w:rPr>
      <w:kern w:val="0"/>
      <w:szCs w:val="20"/>
      <w:u w:color="000000"/>
    </w:rPr>
  </w:style>
  <w:style w:type="paragraph" w:customStyle="1" w:styleId="46">
    <w:name w:val="摘要"/>
    <w:basedOn w:val="1"/>
    <w:qFormat/>
    <w:uiPriority w:val="0"/>
    <w:pPr>
      <w:spacing w:afterLines="100"/>
    </w:pPr>
    <w:rPr>
      <w:rFonts w:eastAsia="华文楷体"/>
    </w:rPr>
  </w:style>
  <w:style w:type="paragraph" w:customStyle="1" w:styleId="47">
    <w:name w:val="图"/>
    <w:basedOn w:val="1"/>
    <w:link w:val="60"/>
    <w:qFormat/>
    <w:uiPriority w:val="0"/>
    <w:pPr>
      <w:widowControl/>
      <w:spacing w:before="120"/>
      <w:ind w:firstLine="0" w:firstLineChars="0"/>
      <w:jc w:val="center"/>
    </w:pPr>
    <w:rPr>
      <w:rFonts w:eastAsia="黑体"/>
      <w:kern w:val="0"/>
      <w:sz w:val="20"/>
      <w:szCs w:val="21"/>
    </w:rPr>
  </w:style>
  <w:style w:type="paragraph" w:customStyle="1" w:styleId="48">
    <w:name w:val="列出段落1"/>
    <w:basedOn w:val="1"/>
    <w:link w:val="64"/>
    <w:qFormat/>
    <w:uiPriority w:val="34"/>
    <w:pPr>
      <w:spacing w:line="240" w:lineRule="auto"/>
      <w:ind w:firstLine="420"/>
    </w:pPr>
    <w:rPr>
      <w:sz w:val="21"/>
      <w:szCs w:val="20"/>
      <w:u w:color="000000"/>
    </w:rPr>
  </w:style>
  <w:style w:type="paragraph" w:customStyle="1" w:styleId="49">
    <w:name w:val="表题注"/>
    <w:basedOn w:val="1"/>
    <w:qFormat/>
    <w:uiPriority w:val="0"/>
    <w:pPr>
      <w:widowControl/>
      <w:snapToGrid w:val="0"/>
      <w:spacing w:beforeLines="50" w:line="240" w:lineRule="auto"/>
      <w:ind w:firstLine="0" w:firstLineChars="0"/>
      <w:jc w:val="center"/>
    </w:pPr>
    <w:rPr>
      <w:rFonts w:eastAsia="黑体"/>
      <w:spacing w:val="-4"/>
      <w:szCs w:val="24"/>
    </w:rPr>
  </w:style>
  <w:style w:type="character" w:customStyle="1" w:styleId="50">
    <w:name w:val="focus"/>
    <w:qFormat/>
    <w:uiPriority w:val="0"/>
  </w:style>
  <w:style w:type="character" w:customStyle="1" w:styleId="51">
    <w:name w:val="Hyperlink.0"/>
    <w:qFormat/>
    <w:uiPriority w:val="0"/>
    <w:rPr>
      <w:color w:val="0000FF"/>
      <w:kern w:val="0"/>
      <w:sz w:val="24"/>
      <w:szCs w:val="24"/>
      <w:u w:val="single" w:color="0000FF"/>
    </w:rPr>
  </w:style>
  <w:style w:type="character" w:customStyle="1" w:styleId="52">
    <w:name w:val="gt-baf-base-sep"/>
    <w:qFormat/>
    <w:uiPriority w:val="0"/>
  </w:style>
  <w:style w:type="character" w:customStyle="1" w:styleId="53">
    <w:name w:val="批注主题 字符"/>
    <w:semiHidden/>
    <w:qFormat/>
    <w:uiPriority w:val="99"/>
    <w:rPr>
      <w:rFonts w:ascii="Times New Roman" w:hAnsi="Arial Unicode MS"/>
      <w:b/>
      <w:bCs/>
      <w:color w:val="000000"/>
      <w:kern w:val="2"/>
      <w:u w:val="none" w:color="000000"/>
      <w:lang w:eastAsia="en-US"/>
    </w:rPr>
  </w:style>
  <w:style w:type="character" w:customStyle="1" w:styleId="54">
    <w:name w:val="apple-converted-space"/>
    <w:qFormat/>
    <w:uiPriority w:val="0"/>
  </w:style>
  <w:style w:type="character" w:customStyle="1" w:styleId="55">
    <w:name w:val="正文文本 字符"/>
    <w:semiHidden/>
    <w:qFormat/>
    <w:uiPriority w:val="99"/>
    <w:rPr>
      <w:rFonts w:ascii="Times New Roman" w:hAnsi="Times New Roman"/>
      <w:kern w:val="2"/>
      <w:sz w:val="24"/>
      <w:szCs w:val="22"/>
    </w:rPr>
  </w:style>
  <w:style w:type="character" w:customStyle="1" w:styleId="56">
    <w:name w:val="占位符文本1"/>
    <w:semiHidden/>
    <w:qFormat/>
    <w:uiPriority w:val="99"/>
    <w:rPr>
      <w:color w:val="808080"/>
    </w:rPr>
  </w:style>
  <w:style w:type="character" w:customStyle="1" w:styleId="57">
    <w:name w:val="Link"/>
    <w:qFormat/>
    <w:uiPriority w:val="0"/>
    <w:rPr>
      <w:color w:val="0000FF"/>
      <w:u w:val="single" w:color="0000FF"/>
    </w:rPr>
  </w:style>
  <w:style w:type="character" w:customStyle="1" w:styleId="58">
    <w:name w:val="批注文字 字符"/>
    <w:semiHidden/>
    <w:qFormat/>
    <w:uiPriority w:val="99"/>
    <w:rPr>
      <w:rFonts w:ascii="Times New Roman" w:hAnsi="Arial Unicode MS"/>
      <w:color w:val="000000"/>
      <w:kern w:val="2"/>
      <w:u w:val="none" w:color="000000"/>
      <w:lang w:eastAsia="en-US"/>
    </w:rPr>
  </w:style>
  <w:style w:type="character" w:customStyle="1" w:styleId="59">
    <w:name w:val="gt-baf-pos"/>
    <w:qFormat/>
    <w:uiPriority w:val="0"/>
    <w:rPr>
      <w:color w:val="777777"/>
    </w:rPr>
  </w:style>
  <w:style w:type="character" w:customStyle="1" w:styleId="60">
    <w:name w:val="图 Char"/>
    <w:link w:val="47"/>
    <w:qFormat/>
    <w:uiPriority w:val="0"/>
    <w:rPr>
      <w:rFonts w:eastAsia="黑体"/>
      <w:szCs w:val="21"/>
    </w:rPr>
  </w:style>
  <w:style w:type="character" w:customStyle="1" w:styleId="61">
    <w:name w:val="批注框文本 字符"/>
    <w:semiHidden/>
    <w:qFormat/>
    <w:uiPriority w:val="99"/>
    <w:rPr>
      <w:rFonts w:ascii="Times New Roman" w:hAnsi="Times New Roman"/>
      <w:kern w:val="2"/>
      <w:sz w:val="18"/>
      <w:szCs w:val="18"/>
    </w:rPr>
  </w:style>
  <w:style w:type="character" w:customStyle="1" w:styleId="62">
    <w:name w:val="页脚 字符"/>
    <w:qFormat/>
    <w:uiPriority w:val="99"/>
    <w:rPr>
      <w:rFonts w:ascii="Times New Roman" w:hAnsi="Times New Roman"/>
      <w:kern w:val="2"/>
      <w:sz w:val="18"/>
      <w:szCs w:val="18"/>
    </w:rPr>
  </w:style>
  <w:style w:type="character" w:customStyle="1" w:styleId="63">
    <w:name w:val="表 Char"/>
    <w:link w:val="43"/>
    <w:qFormat/>
    <w:uiPriority w:val="0"/>
    <w:rPr>
      <w:rFonts w:eastAsia="黑体"/>
      <w:bCs/>
      <w:szCs w:val="21"/>
    </w:rPr>
  </w:style>
  <w:style w:type="character" w:customStyle="1" w:styleId="64">
    <w:name w:val="列出段落1 Char"/>
    <w:link w:val="48"/>
    <w:qFormat/>
    <w:uiPriority w:val="34"/>
    <w:rPr>
      <w:kern w:val="2"/>
      <w:sz w:val="21"/>
      <w:u w:color="000000"/>
    </w:rPr>
  </w:style>
  <w:style w:type="character" w:customStyle="1" w:styleId="65">
    <w:name w:val="z-窗体底端 Char"/>
    <w:semiHidden/>
    <w:qFormat/>
    <w:uiPriority w:val="99"/>
    <w:rPr>
      <w:rFonts w:ascii="Arial" w:hAnsi="Arial" w:cs="Arial"/>
      <w:vanish/>
      <w:kern w:val="2"/>
      <w:sz w:val="16"/>
      <w:szCs w:val="16"/>
    </w:rPr>
  </w:style>
  <w:style w:type="character" w:customStyle="1" w:styleId="66">
    <w:name w:val="图题注 Char"/>
    <w:link w:val="33"/>
    <w:qFormat/>
    <w:uiPriority w:val="0"/>
    <w:rPr>
      <w:rFonts w:eastAsia="黑体"/>
      <w:color w:val="000000"/>
      <w:spacing w:val="-4"/>
      <w:szCs w:val="21"/>
    </w:rPr>
  </w:style>
  <w:style w:type="character" w:customStyle="1" w:styleId="67">
    <w:name w:val="Char Char2"/>
    <w:link w:val="41"/>
    <w:qFormat/>
    <w:uiPriority w:val="0"/>
    <w:rPr>
      <w:rFonts w:ascii="Arial" w:hAnsi="Arial Unicode MS" w:cs="Arial Unicode MS"/>
      <w:vanish/>
      <w:color w:val="000000"/>
      <w:kern w:val="2"/>
      <w:sz w:val="16"/>
      <w:szCs w:val="21"/>
      <w:u w:color="000000"/>
      <w:lang w:eastAsia="en-US"/>
    </w:rPr>
  </w:style>
  <w:style w:type="character" w:customStyle="1" w:styleId="68">
    <w:name w:val="标题 1 字符"/>
    <w:qFormat/>
    <w:uiPriority w:val="0"/>
    <w:rPr>
      <w:rFonts w:ascii="Times New Roman" w:hAnsi="Times New Roman" w:eastAsia="黑体"/>
      <w:b/>
      <w:bCs/>
      <w:kern w:val="44"/>
      <w:sz w:val="36"/>
      <w:szCs w:val="44"/>
    </w:rPr>
  </w:style>
  <w:style w:type="character" w:customStyle="1" w:styleId="69">
    <w:name w:val="页眉 字符"/>
    <w:qFormat/>
    <w:uiPriority w:val="0"/>
    <w:rPr>
      <w:rFonts w:ascii="Times New Roman" w:hAnsi="Times New Roman"/>
      <w:kern w:val="2"/>
      <w:sz w:val="18"/>
      <w:szCs w:val="18"/>
    </w:rPr>
  </w:style>
  <w:style w:type="character" w:customStyle="1" w:styleId="70">
    <w:name w:val="z-窗体顶端 Char"/>
    <w:semiHidden/>
    <w:qFormat/>
    <w:uiPriority w:val="99"/>
    <w:rPr>
      <w:rFonts w:ascii="Arial" w:hAnsi="Arial" w:cs="Arial"/>
      <w:vanish/>
      <w:kern w:val="2"/>
      <w:sz w:val="16"/>
      <w:szCs w:val="16"/>
    </w:rPr>
  </w:style>
  <w:style w:type="character" w:customStyle="1" w:styleId="71">
    <w:name w:val="文档结构图 Char1"/>
    <w:link w:val="5"/>
    <w:qFormat/>
    <w:uiPriority w:val="99"/>
    <w:rPr>
      <w:rFonts w:ascii="宋体" w:hAnsi="Arial Unicode MS"/>
      <w:color w:val="000000"/>
      <w:kern w:val="2"/>
      <w:sz w:val="18"/>
      <w:szCs w:val="18"/>
      <w:u w:color="000000"/>
      <w:lang w:eastAsia="en-US"/>
    </w:rPr>
  </w:style>
  <w:style w:type="character" w:customStyle="1" w:styleId="72">
    <w:name w:val="Char Char1"/>
    <w:link w:val="36"/>
    <w:qFormat/>
    <w:uiPriority w:val="0"/>
    <w:rPr>
      <w:rFonts w:ascii="Arial" w:hAnsi="Arial Unicode MS" w:cs="Arial Unicode MS"/>
      <w:vanish/>
      <w:color w:val="000000"/>
      <w:kern w:val="2"/>
      <w:sz w:val="16"/>
      <w:szCs w:val="21"/>
      <w:u w:color="000000"/>
      <w:lang w:eastAsia="en-US"/>
    </w:rPr>
  </w:style>
  <w:style w:type="character" w:styleId="73">
    <w:name w:val="Placeholder Text"/>
    <w:basedOn w:val="18"/>
    <w:semiHidden/>
    <w:qFormat/>
    <w:uiPriority w:val="99"/>
    <w:rPr>
      <w:color w:val="808080"/>
    </w:rPr>
  </w:style>
  <w:style w:type="paragraph" w:customStyle="1" w:styleId="74">
    <w:name w:val="EndNote Bibliography Title"/>
    <w:basedOn w:val="1"/>
    <w:link w:val="75"/>
    <w:qFormat/>
    <w:uiPriority w:val="0"/>
    <w:pPr>
      <w:jc w:val="center"/>
    </w:pPr>
  </w:style>
  <w:style w:type="character" w:customStyle="1" w:styleId="75">
    <w:name w:val="EndNote Bibliography Title Char"/>
    <w:basedOn w:val="18"/>
    <w:link w:val="74"/>
    <w:qFormat/>
    <w:uiPriority w:val="0"/>
    <w:rPr>
      <w:kern w:val="2"/>
      <w:sz w:val="24"/>
      <w:szCs w:val="22"/>
    </w:rPr>
  </w:style>
  <w:style w:type="character" w:customStyle="1" w:styleId="76">
    <w:name w:val="标题 2 Char"/>
    <w:basedOn w:val="18"/>
    <w:link w:val="3"/>
    <w:qFormat/>
    <w:uiPriority w:val="0"/>
    <w:rPr>
      <w:rFonts w:eastAsia="Times New Roman" w:cs="Arial"/>
      <w:b/>
      <w:bCs/>
      <w:iCs/>
      <w:szCs w:val="28"/>
      <w:lang w:val="en-GB" w:eastAsia="de-DE"/>
    </w:rPr>
  </w:style>
  <w:style w:type="character" w:customStyle="1" w:styleId="77">
    <w:name w:val="标题 3 Char"/>
    <w:basedOn w:val="18"/>
    <w:link w:val="4"/>
    <w:qFormat/>
    <w:uiPriority w:val="0"/>
    <w:rPr>
      <w:rFonts w:eastAsia="Times New Roman" w:cs="Arial"/>
      <w:b/>
      <w:bCs/>
      <w:szCs w:val="26"/>
      <w:lang w:val="en-GB" w:eastAsia="de-DE"/>
    </w:rPr>
  </w:style>
  <w:style w:type="paragraph" w:customStyle="1" w:styleId="78">
    <w:name w:val="列出段落11"/>
    <w:basedOn w:val="1"/>
    <w:qFormat/>
    <w:uiPriority w:val="34"/>
    <w:pPr>
      <w:ind w:firstLine="420"/>
    </w:pPr>
    <w:rPr>
      <w:rFonts w:eastAsia="DengXian"/>
      <w:sz w:val="21"/>
      <w:szCs w:val="21"/>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5.jpeg"/><Relationship Id="rId14" Type="http://schemas.openxmlformats.org/officeDocument/2006/relationships/image" Target="media/image4.png"/><Relationship Id="rId13" Type="http://schemas.openxmlformats.org/officeDocument/2006/relationships/image" Target="media/image3.jpeg"/><Relationship Id="rId12" Type="http://schemas.openxmlformats.org/officeDocument/2006/relationships/image" Target="media/image2.png"/><Relationship Id="rId11" Type="http://schemas.openxmlformats.org/officeDocument/2006/relationships/image" Target="media/image1.w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4097"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6D5EDF6-D884-48FE-B16E-51F92B0C63F8}">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18</Pages>
  <Words>3790</Words>
  <Characters>21607</Characters>
  <Lines>180</Lines>
  <Paragraphs>50</Paragraphs>
  <TotalTime>13</TotalTime>
  <ScaleCrop>false</ScaleCrop>
  <LinksUpToDate>false</LinksUpToDate>
  <CharactersWithSpaces>25347</CharactersWithSpaces>
  <Application>WPS Office_11.1.0.8894_F1E327BC-269C-435d-A152-05C5408002CA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2019-08-02T03:21:00Z</dcterms:created>
  <dc:creator>lenovo</dc:creator>
  <cp:lastModifiedBy>郑小曼</cp:lastModifiedBy>
  <cp:lastPrinted>2019-05-22T10:36:00Z</cp:lastPrinted>
  <dcterms:modified xsi:type="dcterms:W3CDTF">2019-08-13T02:35:49Z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2052-11.1.0.8894</vt:lpwstr>
  </property>
</Properties>
</file>